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96" w:rsidRDefault="00DD6096" w:rsidP="00D41116">
      <w:pPr>
        <w:ind w:right="8" w:firstLine="0"/>
        <w:rPr>
          <w:b/>
          <w:color w:val="000000" w:themeColor="text1"/>
          <w:sz w:val="28"/>
          <w:szCs w:val="24"/>
        </w:rPr>
      </w:pPr>
      <w:r w:rsidRPr="00D41116">
        <w:rPr>
          <w:b/>
          <w:color w:val="000000" w:themeColor="text1"/>
          <w:sz w:val="28"/>
          <w:szCs w:val="24"/>
        </w:rPr>
        <w:t>COMPARISON OF THE PERFORMANCE OF SHARIA BANKS AND CONVENTIONAL BANKS</w:t>
      </w:r>
    </w:p>
    <w:p w:rsidR="00D41116" w:rsidRPr="00D41116" w:rsidRDefault="00D41116" w:rsidP="00D41116">
      <w:pPr>
        <w:ind w:right="8" w:firstLine="0"/>
        <w:rPr>
          <w:color w:val="000000" w:themeColor="text1"/>
          <w:sz w:val="28"/>
          <w:szCs w:val="24"/>
        </w:rPr>
      </w:pPr>
    </w:p>
    <w:p w:rsidR="00DD6096" w:rsidRDefault="00DD6096" w:rsidP="00D41116">
      <w:pPr>
        <w:ind w:right="4"/>
        <w:rPr>
          <w:b/>
          <w:sz w:val="24"/>
        </w:rPr>
      </w:pPr>
      <w:proofErr w:type="spellStart"/>
      <w:r w:rsidRPr="00D41116">
        <w:rPr>
          <w:b/>
          <w:sz w:val="24"/>
        </w:rPr>
        <w:t>Faradilla</w:t>
      </w:r>
      <w:proofErr w:type="spellEnd"/>
      <w:r w:rsidRPr="00D41116">
        <w:rPr>
          <w:b/>
          <w:sz w:val="24"/>
        </w:rPr>
        <w:t xml:space="preserve"> </w:t>
      </w:r>
      <w:proofErr w:type="spellStart"/>
      <w:r w:rsidRPr="00D41116">
        <w:rPr>
          <w:b/>
          <w:sz w:val="24"/>
        </w:rPr>
        <w:t>Felysha</w:t>
      </w:r>
      <w:proofErr w:type="spellEnd"/>
    </w:p>
    <w:p w:rsidR="00D41116" w:rsidRPr="00D41116" w:rsidRDefault="00D41116" w:rsidP="00D41116">
      <w:pPr>
        <w:ind w:right="4"/>
        <w:rPr>
          <w:sz w:val="24"/>
          <w:vertAlign w:val="superscript"/>
        </w:rPr>
      </w:pPr>
    </w:p>
    <w:p w:rsidR="00DD6096" w:rsidRPr="00DD6096" w:rsidRDefault="00D41116" w:rsidP="00D41116">
      <w:pPr>
        <w:ind w:left="227" w:right="171" w:firstLine="0"/>
        <w:rPr>
          <w:sz w:val="20"/>
          <w:szCs w:val="20"/>
        </w:rPr>
      </w:pPr>
      <w:r>
        <w:rPr>
          <w:sz w:val="20"/>
          <w:szCs w:val="20"/>
        </w:rPr>
        <w:t>Faculty of Economic and Business</w:t>
      </w:r>
      <w:r w:rsidR="00DD6096" w:rsidRPr="00DD6096">
        <w:rPr>
          <w:sz w:val="20"/>
          <w:szCs w:val="20"/>
        </w:rPr>
        <w:t xml:space="preserve">, </w:t>
      </w:r>
      <w:proofErr w:type="spellStart"/>
      <w:r>
        <w:rPr>
          <w:sz w:val="20"/>
          <w:szCs w:val="20"/>
        </w:rPr>
        <w:t>Un</w:t>
      </w:r>
      <w:r w:rsidR="008C0F77">
        <w:rPr>
          <w:sz w:val="20"/>
          <w:szCs w:val="20"/>
        </w:rPr>
        <w:t>iversitas</w:t>
      </w:r>
      <w:proofErr w:type="spellEnd"/>
      <w:r w:rsidR="008C0F77">
        <w:rPr>
          <w:sz w:val="20"/>
          <w:szCs w:val="20"/>
        </w:rPr>
        <w:t xml:space="preserve"> </w:t>
      </w:r>
      <w:proofErr w:type="spellStart"/>
      <w:r w:rsidR="00DD6096" w:rsidRPr="00DD6096">
        <w:rPr>
          <w:sz w:val="20"/>
          <w:szCs w:val="20"/>
        </w:rPr>
        <w:t>Malikussaleh</w:t>
      </w:r>
      <w:proofErr w:type="spellEnd"/>
      <w:r w:rsidR="00DD6096" w:rsidRPr="00DD6096">
        <w:rPr>
          <w:sz w:val="20"/>
          <w:szCs w:val="20"/>
        </w:rPr>
        <w:t xml:space="preserve"> </w:t>
      </w:r>
    </w:p>
    <w:p w:rsidR="00DD6096" w:rsidRPr="00DD6096" w:rsidRDefault="00DD6096" w:rsidP="00D41116">
      <w:pPr>
        <w:ind w:left="227" w:right="171" w:firstLine="0"/>
        <w:rPr>
          <w:sz w:val="20"/>
          <w:szCs w:val="20"/>
        </w:rPr>
      </w:pPr>
      <w:r w:rsidRPr="00DD6096">
        <w:rPr>
          <w:sz w:val="20"/>
          <w:szCs w:val="20"/>
        </w:rPr>
        <w:t>Email:</w:t>
      </w:r>
      <w:r w:rsidRPr="008C0F77">
        <w:rPr>
          <w:sz w:val="20"/>
          <w:szCs w:val="20"/>
          <w:vertAlign w:val="superscript"/>
        </w:rPr>
        <w:t>1)</w:t>
      </w:r>
      <w:r w:rsidRPr="00DD6096">
        <w:rPr>
          <w:color w:val="0000FF"/>
          <w:sz w:val="20"/>
          <w:szCs w:val="20"/>
          <w:u w:val="single" w:color="0000FF"/>
        </w:rPr>
        <w:t>faradilla.200420257@mhs.unimal.ac.id</w:t>
      </w:r>
      <w:r w:rsidRPr="00DD6096">
        <w:rPr>
          <w:sz w:val="20"/>
          <w:szCs w:val="20"/>
        </w:rPr>
        <w:t xml:space="preserve"> </w:t>
      </w:r>
    </w:p>
    <w:p w:rsidR="003607C1" w:rsidRPr="003607C1" w:rsidRDefault="003607C1" w:rsidP="00D41116">
      <w:pPr>
        <w:rPr>
          <w:rFonts w:eastAsia="Times New Roman"/>
          <w:color w:val="000000"/>
          <w:sz w:val="20"/>
          <w:szCs w:val="20"/>
        </w:rPr>
      </w:pPr>
    </w:p>
    <w:p w:rsidR="00E57136" w:rsidRDefault="00D60878" w:rsidP="0090788E">
      <w:pPr>
        <w:ind w:left="567" w:firstLine="0"/>
      </w:pPr>
      <w:r>
        <w:rPr>
          <w:i/>
          <w:iCs/>
          <w:noProof/>
        </w:rPr>
        <mc:AlternateContent>
          <mc:Choice Requires="wps">
            <w:drawing>
              <wp:anchor distT="0" distB="0" distL="114300" distR="114300" simplePos="0" relativeHeight="251656704" behindDoc="0" locked="0" layoutInCell="1" allowOverlap="1" wp14:anchorId="6A6022B0" wp14:editId="75D6F5B2">
                <wp:simplePos x="0" y="0"/>
                <wp:positionH relativeFrom="column">
                  <wp:posOffset>43180</wp:posOffset>
                </wp:positionH>
                <wp:positionV relativeFrom="paragraph">
                  <wp:posOffset>33020</wp:posOffset>
                </wp:positionV>
                <wp:extent cx="5572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572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4D912" id="Straight Connector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6pt" to="44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" strokecolor="black [3213]"/>
            </w:pict>
          </mc:Fallback>
        </mc:AlternateContent>
      </w:r>
    </w:p>
    <w:p w:rsidR="00E57136" w:rsidRPr="007D6A74" w:rsidRDefault="00E57136" w:rsidP="00E57136">
      <w:pPr>
        <w:pStyle w:val="NormalWeb"/>
        <w:spacing w:before="0" w:beforeAutospacing="0" w:after="0" w:afterAutospacing="0"/>
        <w:jc w:val="center"/>
        <w:rPr>
          <w:color w:val="000000"/>
          <w:sz w:val="22"/>
          <w:szCs w:val="22"/>
        </w:rPr>
      </w:pPr>
      <w:r>
        <w:rPr>
          <w:b/>
          <w:bCs/>
          <w:iCs/>
          <w:color w:val="000000"/>
          <w:sz w:val="22"/>
          <w:szCs w:val="22"/>
        </w:rPr>
        <w:t>Abstract</w:t>
      </w:r>
    </w:p>
    <w:p w:rsidR="00DD6096" w:rsidRPr="00DD6096" w:rsidRDefault="00DD6096" w:rsidP="00D41116">
      <w:pPr>
        <w:spacing w:after="200"/>
        <w:ind w:left="-15" w:firstLine="0"/>
        <w:jc w:val="both"/>
        <w:rPr>
          <w:sz w:val="22"/>
        </w:rPr>
      </w:pPr>
      <w:r w:rsidRPr="00DD6096">
        <w:rPr>
          <w:sz w:val="22"/>
        </w:rPr>
        <w:t xml:space="preserve">This study aims to find out and analyze the significant differences between the performance of conventional banks and Islamic banks and to find out and analyze which banking performance is better between Islamic and conventional banking. This study uses a qualitative descriptive method using secondary data. From the results of the study there is a significant difference between conventional banking and Islamic banking such as the absence of interest in Islamic banking considering that interest is forbidden in Islamic law as usury. Furthermore, in terms of risk in conventional credit, the customer still has to pay the full loan and interest as previously agreed. Both when the business makes a profit or loss while sharia credit if the contract used is capital </w:t>
      </w:r>
      <w:proofErr w:type="gramStart"/>
      <w:r w:rsidRPr="00DD6096">
        <w:rPr>
          <w:sz w:val="22"/>
        </w:rPr>
        <w:t>sharing</w:t>
      </w:r>
      <w:proofErr w:type="gramEnd"/>
      <w:r w:rsidRPr="00DD6096">
        <w:rPr>
          <w:sz w:val="22"/>
        </w:rPr>
        <w:t>,</w:t>
      </w:r>
    </w:p>
    <w:p w:rsidR="00DD6096" w:rsidRPr="008C0F77" w:rsidRDefault="00DD6096" w:rsidP="00D41116">
      <w:pPr>
        <w:spacing w:line="259" w:lineRule="auto"/>
        <w:ind w:firstLine="0"/>
        <w:jc w:val="both"/>
        <w:rPr>
          <w:b/>
          <w:bCs/>
          <w:i/>
          <w:iCs/>
          <w:sz w:val="22"/>
        </w:rPr>
      </w:pPr>
      <w:r w:rsidRPr="00DD6096">
        <w:rPr>
          <w:sz w:val="22"/>
        </w:rPr>
        <w:t xml:space="preserve">Keywords: </w:t>
      </w:r>
      <w:r w:rsidRPr="008C0F77">
        <w:rPr>
          <w:b/>
          <w:bCs/>
          <w:i/>
          <w:iCs/>
          <w:sz w:val="22"/>
        </w:rPr>
        <w:t>Islamic Bank, Conventional Bank</w:t>
      </w:r>
    </w:p>
    <w:p w:rsidR="00301E4C" w:rsidRPr="00301E4C" w:rsidRDefault="00301E4C" w:rsidP="00301E4C">
      <w:pPr>
        <w:ind w:firstLine="0"/>
        <w:jc w:val="both"/>
      </w:pPr>
    </w:p>
    <w:p w:rsidR="007D689D" w:rsidRPr="007D689D" w:rsidRDefault="007D689D" w:rsidP="007D689D">
      <w:r>
        <w:rPr>
          <w:i/>
          <w:iCs/>
          <w:noProof/>
        </w:rPr>
        <mc:AlternateContent>
          <mc:Choice Requires="wps">
            <w:drawing>
              <wp:anchor distT="0" distB="0" distL="114300" distR="114300" simplePos="0" relativeHeight="251659776" behindDoc="0" locked="0" layoutInCell="1" allowOverlap="1" wp14:anchorId="2AEEFA1C" wp14:editId="59A3EC8D">
                <wp:simplePos x="0" y="0"/>
                <wp:positionH relativeFrom="column">
                  <wp:posOffset>-3811</wp:posOffset>
                </wp:positionH>
                <wp:positionV relativeFrom="paragraph">
                  <wp:posOffset>38734</wp:posOffset>
                </wp:positionV>
                <wp:extent cx="5572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572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5B3F7" id="Straight Connector 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05pt" to="438.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" strokecolor="black [3213]"/>
            </w:pict>
          </mc:Fallback>
        </mc:AlternateContent>
      </w:r>
      <w:r>
        <w:rPr>
          <w:i/>
          <w:iCs/>
          <w:noProof/>
        </w:rPr>
        <mc:AlternateContent>
          <mc:Choice Requires="wps">
            <w:drawing>
              <wp:anchor distT="0" distB="0" distL="114300" distR="114300" simplePos="0" relativeHeight="251654656" behindDoc="0" locked="0" layoutInCell="1" allowOverlap="1" wp14:anchorId="597D7315" wp14:editId="5B934987">
                <wp:simplePos x="0" y="0"/>
                <wp:positionH relativeFrom="column">
                  <wp:posOffset>0</wp:posOffset>
                </wp:positionH>
                <wp:positionV relativeFrom="paragraph">
                  <wp:posOffset>0</wp:posOffset>
                </wp:positionV>
                <wp:extent cx="5572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572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8BE873" id="Straight Connector 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" strokecolor="black [3213]"/>
            </w:pict>
          </mc:Fallback>
        </mc:AlternateContent>
      </w:r>
    </w:p>
    <w:p w:rsidR="00E57136" w:rsidRDefault="00E57136" w:rsidP="00E57136">
      <w:pPr>
        <w:pStyle w:val="NormalWeb"/>
        <w:spacing w:before="0" w:beforeAutospacing="0" w:after="0" w:afterAutospacing="0"/>
        <w:jc w:val="center"/>
        <w:rPr>
          <w:color w:val="000000"/>
          <w:sz w:val="18"/>
          <w:szCs w:val="18"/>
        </w:rPr>
      </w:pPr>
    </w:p>
    <w:p w:rsidR="00E57136" w:rsidRPr="007D6A74" w:rsidRDefault="00E57136" w:rsidP="00E57136">
      <w:pPr>
        <w:pStyle w:val="NormalWeb"/>
        <w:spacing w:before="0" w:beforeAutospacing="0" w:after="0" w:afterAutospacing="0"/>
        <w:jc w:val="both"/>
        <w:rPr>
          <w:color w:val="000000"/>
          <w:sz w:val="22"/>
          <w:szCs w:val="22"/>
        </w:rPr>
      </w:pPr>
      <w:r>
        <w:rPr>
          <w:b/>
          <w:bCs/>
          <w:color w:val="000000"/>
          <w:sz w:val="22"/>
          <w:szCs w:val="22"/>
        </w:rPr>
        <w:t>1. INTRODUCTION</w:t>
      </w:r>
    </w:p>
    <w:p w:rsidR="00DD6096" w:rsidRPr="00DD6096" w:rsidRDefault="00DD6096" w:rsidP="00DD6096">
      <w:pPr>
        <w:spacing w:after="203"/>
        <w:ind w:left="-15" w:firstLine="720"/>
        <w:jc w:val="both"/>
        <w:rPr>
          <w:sz w:val="22"/>
        </w:rPr>
      </w:pPr>
      <w:r w:rsidRPr="00DD6096">
        <w:rPr>
          <w:sz w:val="22"/>
        </w:rPr>
        <w:t xml:space="preserve">The banking industry in Indonesia has a very important role in the economy. Bank is one of the financial institutions that have an important role in the economy of a country as a financial intermediary institution. This is because banking is one of the financial systems that functions as a Financial Intermediary, namely an institution that has a role to bring together owners and users of funds as well as institutions that function to facilitate payment traffic (Indonesian Association of Accountants 2002: 31.1). Banks must operate efficiently on a macro and micro scale. As a financial institution, banks need to maintain their performance in order to operate optimally. Bank performance (financial condition) is one of the factors that must be considered by banks in order to continue to survive. The bank's financial performance is part of the bank's overall performance. The bank's overall performance is an illustration of the achievements of the bank in its operations, both in terms of finance, marketing, fundraising and distribution, technology, and human resources. Currently there are two types of banks based on operational activities, namely conventional banks and Islamic banks. Therefore this study aims to find out and analyze the significant differences between the performance of conventional banks and Islamic banks and to find out and analyze which banking performance is better between Islamic and conventional banking. </w:t>
      </w:r>
      <w:proofErr w:type="gramStart"/>
      <w:r w:rsidRPr="00DD6096">
        <w:rPr>
          <w:sz w:val="22"/>
        </w:rPr>
        <w:t>both</w:t>
      </w:r>
      <w:proofErr w:type="gramEnd"/>
      <w:r w:rsidRPr="00DD6096">
        <w:rPr>
          <w:sz w:val="22"/>
        </w:rPr>
        <w:t xml:space="preserve"> regarding the aspects of finance, marketing, collection and distribution of funds, technology, and human resources. Currently there are two types of banks based on operational activities, namely conventional banks and Islamic banks. Therefore this study aims to find out and analyze the significant differences between the performance of conventional banks and Islamic banks and to find out and analyze which banking performance is better between Islamic and conventional banking. </w:t>
      </w:r>
      <w:proofErr w:type="gramStart"/>
      <w:r w:rsidRPr="00DD6096">
        <w:rPr>
          <w:sz w:val="22"/>
        </w:rPr>
        <w:t>both</w:t>
      </w:r>
      <w:proofErr w:type="gramEnd"/>
      <w:r w:rsidRPr="00DD6096">
        <w:rPr>
          <w:sz w:val="22"/>
        </w:rPr>
        <w:t xml:space="preserve"> regarding the aspects of finance, marketing, collection and distribution of funds, technology, and human resources. Currently there are two types of banks based on operational activities, namely conventional banks and Islamic banks. Therefore this study aims to find out and analyze the significant differences between the performance of conventional banks and Islamic banks and to find out and analyze which banking performance is better between Islamic and conventional banking.</w:t>
      </w:r>
    </w:p>
    <w:p w:rsidR="00DD6096" w:rsidRDefault="00DD6096" w:rsidP="00DD6096">
      <w:pPr>
        <w:ind w:firstLine="0"/>
        <w:jc w:val="both"/>
        <w:rPr>
          <w:rStyle w:val="markedcontent"/>
          <w:rFonts w:asciiTheme="majorBidi" w:hAnsiTheme="majorBidi" w:cstheme="majorBidi"/>
          <w:b/>
          <w:bCs/>
          <w:sz w:val="22"/>
        </w:rPr>
      </w:pPr>
      <w:r>
        <w:rPr>
          <w:rStyle w:val="markedcontent"/>
          <w:rFonts w:asciiTheme="majorBidi" w:hAnsiTheme="majorBidi" w:cstheme="majorBidi"/>
          <w:b/>
          <w:bCs/>
          <w:sz w:val="22"/>
        </w:rPr>
        <w:lastRenderedPageBreak/>
        <w:t>2. LITERATURE REVIEW</w:t>
      </w:r>
    </w:p>
    <w:p w:rsidR="00DD6096" w:rsidRPr="00DD6096" w:rsidRDefault="00DD6096" w:rsidP="00DD6096">
      <w:pPr>
        <w:pStyle w:val="Heading1"/>
        <w:ind w:left="-5"/>
        <w:jc w:val="both"/>
        <w:rPr>
          <w:szCs w:val="22"/>
        </w:rPr>
      </w:pPr>
      <w:r>
        <w:rPr>
          <w:szCs w:val="22"/>
        </w:rPr>
        <w:t>2.1. Indonesian Banking</w:t>
      </w:r>
    </w:p>
    <w:p w:rsidR="00DD6096" w:rsidRPr="00DD6096" w:rsidRDefault="00DD6096" w:rsidP="00DD6096">
      <w:pPr>
        <w:spacing w:after="205"/>
        <w:ind w:left="-15" w:firstLine="720"/>
        <w:jc w:val="both"/>
        <w:rPr>
          <w:sz w:val="22"/>
        </w:rPr>
      </w:pPr>
      <w:r w:rsidRPr="00DD6096">
        <w:rPr>
          <w:sz w:val="22"/>
        </w:rPr>
        <w:t xml:space="preserve">Bank Indonesia (BI) is the idea of ​​forming a circulation bank for the Dutch East Indies which was sparked before the departure of the Commissioner General of the Dutch East Indies Mr. CT Elout to the Dutch East Indies. The financial conditions in the Dutch East Indies were considered to have required order and regulation of the payment system in the form of a bank institution. At the same time, the business community in Batavia, Dutch East Indies, had urged the establishment of a banking institution to fulfill their business interests. However, this idea only started to materialize when King Willem I issued a Power of Attorney to the Commissioner General of the Dutch East Indies on December 9, 1826. The letter authorized the Dutch East Indies Government to establish a bank based on a timed special authority, or commonly called </w:t>
      </w:r>
      <w:proofErr w:type="spellStart"/>
      <w:r w:rsidRPr="00DD6096">
        <w:rPr>
          <w:sz w:val="22"/>
        </w:rPr>
        <w:t>Oktroi</w:t>
      </w:r>
      <w:proofErr w:type="spellEnd"/>
      <w:r w:rsidRPr="00DD6096">
        <w:rPr>
          <w:sz w:val="22"/>
        </w:rPr>
        <w:t>.</w:t>
      </w:r>
    </w:p>
    <w:p w:rsidR="00DD6096" w:rsidRPr="00DD6096" w:rsidRDefault="00DD6096" w:rsidP="00DD6096">
      <w:pPr>
        <w:pStyle w:val="Heading1"/>
        <w:ind w:left="-5"/>
        <w:jc w:val="both"/>
        <w:rPr>
          <w:szCs w:val="22"/>
        </w:rPr>
      </w:pPr>
      <w:r>
        <w:rPr>
          <w:szCs w:val="22"/>
        </w:rPr>
        <w:t>2.2</w:t>
      </w:r>
      <w:proofErr w:type="gramStart"/>
      <w:r>
        <w:rPr>
          <w:szCs w:val="22"/>
        </w:rPr>
        <w:t>.Conventional</w:t>
      </w:r>
      <w:proofErr w:type="gramEnd"/>
      <w:r>
        <w:rPr>
          <w:szCs w:val="22"/>
        </w:rPr>
        <w:t xml:space="preserve"> Banks</w:t>
      </w:r>
    </w:p>
    <w:p w:rsidR="00DD6096" w:rsidRPr="00DD6096" w:rsidRDefault="00DD6096" w:rsidP="00DD6096">
      <w:pPr>
        <w:spacing w:after="206"/>
        <w:ind w:left="-15" w:firstLine="720"/>
        <w:jc w:val="both"/>
        <w:rPr>
          <w:sz w:val="22"/>
        </w:rPr>
      </w:pPr>
      <w:r w:rsidRPr="00DD6096">
        <w:rPr>
          <w:sz w:val="22"/>
        </w:rPr>
        <w:t>The definition of a bank according to Law no. 10 of 1999 concerning amendments to Law no. 7 of 1992 concerning banking is a business entity that collects funds from the public in the form of savings and distributes them to the public in the form of credit and/or other forms in order to improve the standard of living of the people at large. In Indonesia, by type, banks consist of Commercial Banks and Rural Banks. In Article 1 paragraph 3 of Law No. 10 of 1998 it states that commercial banks are banks that carry out business activities conventionally or based on sharia principles which in their activities provide services in payment traffic. Conventional banks can be defined as in the sense of commercial banks in article 1 paragraph 3 of Law no. 10 of 1998 by eliminating the phrase "and or based on sharia principles", namely banks that carry out conventional business activities which in their activities provide services in payment traffic. Commercial (conventional) banks are the most circulating banks in Indonesia. Commercial banks have the most complete service delivery activities and can operate throughout Indonesia (</w:t>
      </w:r>
      <w:proofErr w:type="spellStart"/>
      <w:r w:rsidRPr="00DD6096">
        <w:rPr>
          <w:sz w:val="22"/>
        </w:rPr>
        <w:t>Kasmir</w:t>
      </w:r>
      <w:proofErr w:type="spellEnd"/>
      <w:r w:rsidRPr="00DD6096">
        <w:rPr>
          <w:sz w:val="22"/>
        </w:rPr>
        <w:t>, 2004).</w:t>
      </w:r>
    </w:p>
    <w:p w:rsidR="00DD6096" w:rsidRPr="00DD6096" w:rsidRDefault="00DD6096" w:rsidP="00DD6096">
      <w:pPr>
        <w:pStyle w:val="Heading1"/>
        <w:ind w:left="-5"/>
        <w:jc w:val="both"/>
        <w:rPr>
          <w:szCs w:val="22"/>
        </w:rPr>
      </w:pPr>
      <w:r>
        <w:rPr>
          <w:szCs w:val="22"/>
        </w:rPr>
        <w:t>2.3</w:t>
      </w:r>
      <w:proofErr w:type="gramStart"/>
      <w:r>
        <w:rPr>
          <w:szCs w:val="22"/>
        </w:rPr>
        <w:t>.Sharia</w:t>
      </w:r>
      <w:proofErr w:type="gramEnd"/>
      <w:r>
        <w:rPr>
          <w:szCs w:val="22"/>
        </w:rPr>
        <w:t xml:space="preserve"> Bank</w:t>
      </w:r>
    </w:p>
    <w:p w:rsidR="00DD6096" w:rsidRPr="00DD6096" w:rsidRDefault="00DD6096" w:rsidP="00DD6096">
      <w:pPr>
        <w:spacing w:after="204"/>
        <w:ind w:left="-15" w:firstLine="720"/>
        <w:jc w:val="both"/>
        <w:rPr>
          <w:sz w:val="22"/>
        </w:rPr>
      </w:pPr>
      <w:r w:rsidRPr="00DD6096">
        <w:rPr>
          <w:sz w:val="22"/>
        </w:rPr>
        <w:t>Islamic bank is a type of banking which is everything related to Islamic banks and Islamic business units, including institutions, business activities, as well as methods and processes in carrying out their business activities. With regard to Islamic banks, there are two concepts in Islamic religious law, namely: the prohibition of using the interest system, because interest (usury) is unlawful. As a substitute for interest, a profit-sharing system is used. The principles that apply to Islamic Banks:</w:t>
      </w:r>
    </w:p>
    <w:p w:rsidR="00DD6096" w:rsidRPr="00DD6096" w:rsidRDefault="00DD6096" w:rsidP="009255EA">
      <w:pPr>
        <w:numPr>
          <w:ilvl w:val="0"/>
          <w:numId w:val="2"/>
        </w:numPr>
        <w:spacing w:after="317" w:line="259" w:lineRule="auto"/>
        <w:ind w:hanging="240"/>
        <w:jc w:val="both"/>
        <w:rPr>
          <w:sz w:val="22"/>
        </w:rPr>
      </w:pPr>
      <w:r w:rsidRPr="00DD6096">
        <w:rPr>
          <w:sz w:val="22"/>
        </w:rPr>
        <w:t>Financing based on the principle of profit sharing (</w:t>
      </w:r>
      <w:proofErr w:type="spellStart"/>
      <w:r w:rsidRPr="00DD6096">
        <w:rPr>
          <w:sz w:val="22"/>
        </w:rPr>
        <w:t>mudharabah</w:t>
      </w:r>
      <w:proofErr w:type="spellEnd"/>
      <w:r w:rsidRPr="00DD6096">
        <w:rPr>
          <w:sz w:val="22"/>
        </w:rPr>
        <w:t>).</w:t>
      </w:r>
    </w:p>
    <w:p w:rsidR="00DD6096" w:rsidRPr="00DD6096" w:rsidRDefault="00DD6096" w:rsidP="009255EA">
      <w:pPr>
        <w:numPr>
          <w:ilvl w:val="0"/>
          <w:numId w:val="2"/>
        </w:numPr>
        <w:spacing w:after="317" w:line="259" w:lineRule="auto"/>
        <w:ind w:hanging="240"/>
        <w:jc w:val="both"/>
        <w:rPr>
          <w:sz w:val="22"/>
        </w:rPr>
      </w:pPr>
      <w:r w:rsidRPr="00DD6096">
        <w:rPr>
          <w:sz w:val="22"/>
        </w:rPr>
        <w:t>Financing based on the principle of equity participation (</w:t>
      </w:r>
      <w:proofErr w:type="spellStart"/>
      <w:r w:rsidRPr="00DD6096">
        <w:rPr>
          <w:sz w:val="22"/>
        </w:rPr>
        <w:t>musharakah</w:t>
      </w:r>
      <w:proofErr w:type="spellEnd"/>
      <w:r w:rsidRPr="00DD6096">
        <w:rPr>
          <w:sz w:val="22"/>
        </w:rPr>
        <w:t>).</w:t>
      </w:r>
    </w:p>
    <w:p w:rsidR="00DD6096" w:rsidRPr="00DD6096" w:rsidRDefault="00DD6096" w:rsidP="009255EA">
      <w:pPr>
        <w:numPr>
          <w:ilvl w:val="0"/>
          <w:numId w:val="2"/>
        </w:numPr>
        <w:spacing w:after="315" w:line="259" w:lineRule="auto"/>
        <w:ind w:hanging="240"/>
        <w:jc w:val="both"/>
        <w:rPr>
          <w:sz w:val="22"/>
        </w:rPr>
      </w:pPr>
      <w:r w:rsidRPr="00DD6096">
        <w:rPr>
          <w:sz w:val="22"/>
        </w:rPr>
        <w:t>The principle of buying and selling goods by obtaining profit (</w:t>
      </w:r>
      <w:proofErr w:type="spellStart"/>
      <w:r w:rsidRPr="00DD6096">
        <w:rPr>
          <w:sz w:val="22"/>
        </w:rPr>
        <w:t>murabahah</w:t>
      </w:r>
      <w:proofErr w:type="spellEnd"/>
      <w:r w:rsidRPr="00DD6096">
        <w:rPr>
          <w:sz w:val="22"/>
        </w:rPr>
        <w:t>).</w:t>
      </w:r>
    </w:p>
    <w:p w:rsidR="00DD6096" w:rsidRPr="00DD6096" w:rsidRDefault="00DD6096" w:rsidP="009255EA">
      <w:pPr>
        <w:numPr>
          <w:ilvl w:val="0"/>
          <w:numId w:val="2"/>
        </w:numPr>
        <w:spacing w:after="318" w:line="259" w:lineRule="auto"/>
        <w:ind w:hanging="240"/>
        <w:jc w:val="both"/>
        <w:rPr>
          <w:sz w:val="22"/>
        </w:rPr>
      </w:pPr>
      <w:r w:rsidRPr="00DD6096">
        <w:rPr>
          <w:sz w:val="22"/>
        </w:rPr>
        <w:t>Capital goods financing based on pure lease without choice (</w:t>
      </w:r>
      <w:proofErr w:type="spellStart"/>
      <w:r w:rsidRPr="00DD6096">
        <w:rPr>
          <w:sz w:val="22"/>
        </w:rPr>
        <w:t>ijara</w:t>
      </w:r>
      <w:proofErr w:type="spellEnd"/>
      <w:r w:rsidRPr="00DD6096">
        <w:rPr>
          <w:sz w:val="22"/>
        </w:rPr>
        <w:t>).</w:t>
      </w:r>
    </w:p>
    <w:p w:rsidR="00DD6096" w:rsidRPr="00DD6096" w:rsidRDefault="00DD6096" w:rsidP="009255EA">
      <w:pPr>
        <w:numPr>
          <w:ilvl w:val="0"/>
          <w:numId w:val="2"/>
        </w:numPr>
        <w:spacing w:after="205" w:line="357" w:lineRule="auto"/>
        <w:ind w:hanging="240"/>
        <w:jc w:val="both"/>
        <w:rPr>
          <w:sz w:val="22"/>
        </w:rPr>
      </w:pPr>
      <w:r w:rsidRPr="00DD6096">
        <w:rPr>
          <w:sz w:val="22"/>
        </w:rPr>
        <w:t>The option of transferring ownership of goods leased from the bank by another party (</w:t>
      </w:r>
      <w:proofErr w:type="spellStart"/>
      <w:r w:rsidRPr="00DD6096">
        <w:rPr>
          <w:sz w:val="22"/>
        </w:rPr>
        <w:t>ijarah</w:t>
      </w:r>
      <w:proofErr w:type="spellEnd"/>
      <w:r w:rsidRPr="00DD6096">
        <w:rPr>
          <w:sz w:val="22"/>
        </w:rPr>
        <w:t xml:space="preserve"> </w:t>
      </w:r>
      <w:proofErr w:type="spellStart"/>
      <w:proofErr w:type="gramStart"/>
      <w:r w:rsidRPr="00DD6096">
        <w:rPr>
          <w:sz w:val="22"/>
        </w:rPr>
        <w:t>wa</w:t>
      </w:r>
      <w:proofErr w:type="spellEnd"/>
      <w:proofErr w:type="gramEnd"/>
      <w:r w:rsidRPr="00DD6096">
        <w:rPr>
          <w:sz w:val="22"/>
        </w:rPr>
        <w:t xml:space="preserve"> </w:t>
      </w:r>
      <w:proofErr w:type="spellStart"/>
      <w:r w:rsidRPr="00DD6096">
        <w:rPr>
          <w:sz w:val="22"/>
        </w:rPr>
        <w:t>iqtina</w:t>
      </w:r>
      <w:proofErr w:type="spellEnd"/>
      <w:r w:rsidRPr="00DD6096">
        <w:rPr>
          <w:sz w:val="22"/>
        </w:rPr>
        <w:t>).</w:t>
      </w: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p>
    <w:p w:rsidR="00D41116" w:rsidRDefault="00D4111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r>
        <w:rPr>
          <w:rStyle w:val="markedcontent"/>
          <w:rFonts w:asciiTheme="majorBidi" w:hAnsiTheme="majorBidi" w:cstheme="majorBidi"/>
          <w:b/>
          <w:bCs/>
          <w:sz w:val="22"/>
        </w:rPr>
        <w:lastRenderedPageBreak/>
        <w:t>3. RESEARCH METHODS</w:t>
      </w:r>
    </w:p>
    <w:p w:rsidR="00DD6096" w:rsidRPr="00DD6096" w:rsidRDefault="00DD6096" w:rsidP="00DD6096">
      <w:pPr>
        <w:spacing w:after="136"/>
        <w:ind w:left="-15" w:right="215" w:firstLine="720"/>
        <w:jc w:val="both"/>
        <w:rPr>
          <w:sz w:val="22"/>
        </w:rPr>
      </w:pPr>
      <w:r w:rsidRPr="00DD6096">
        <w:rPr>
          <w:sz w:val="22"/>
        </w:rPr>
        <w:t>The method used in this study is a qualitative descriptive method which aims to reveal facts about the comparison of the performance of Islamic banking with conventional banking. The data source used is secondary data, namely data from books, banking and other literature.</w:t>
      </w:r>
    </w:p>
    <w:p w:rsidR="00DD6096" w:rsidRDefault="00DD6096" w:rsidP="00DD6096">
      <w:pPr>
        <w:ind w:firstLine="0"/>
        <w:jc w:val="both"/>
        <w:rPr>
          <w:rStyle w:val="markedcontent"/>
          <w:rFonts w:asciiTheme="majorBidi" w:hAnsiTheme="majorBidi" w:cstheme="majorBidi"/>
          <w:b/>
          <w:bCs/>
          <w:sz w:val="22"/>
        </w:rPr>
      </w:pPr>
    </w:p>
    <w:p w:rsidR="00DD6096" w:rsidRPr="00DD6096" w:rsidRDefault="00DD6096" w:rsidP="00DD6096">
      <w:pPr>
        <w:ind w:firstLine="0"/>
        <w:jc w:val="both"/>
        <w:rPr>
          <w:rStyle w:val="markedcontent"/>
          <w:rFonts w:asciiTheme="majorBidi" w:hAnsiTheme="majorBidi" w:cstheme="majorBidi"/>
          <w:b/>
          <w:bCs/>
          <w:sz w:val="22"/>
        </w:rPr>
      </w:pPr>
      <w:r>
        <w:rPr>
          <w:rStyle w:val="markedcontent"/>
          <w:rFonts w:asciiTheme="majorBidi" w:hAnsiTheme="majorBidi" w:cstheme="majorBidi"/>
          <w:b/>
          <w:bCs/>
          <w:sz w:val="22"/>
        </w:rPr>
        <w:t>4. RESULTS AND DISCUSSION</w:t>
      </w:r>
    </w:p>
    <w:p w:rsidR="00DD6096" w:rsidRPr="00DD6096" w:rsidRDefault="00DD6096" w:rsidP="00DD6096">
      <w:pPr>
        <w:spacing w:after="244" w:line="259" w:lineRule="auto"/>
        <w:ind w:firstLine="0"/>
        <w:jc w:val="both"/>
        <w:rPr>
          <w:sz w:val="22"/>
        </w:rPr>
      </w:pPr>
      <w:r>
        <w:rPr>
          <w:b/>
          <w:sz w:val="22"/>
        </w:rPr>
        <w:t>4.1</w:t>
      </w:r>
      <w:proofErr w:type="gramStart"/>
      <w:r>
        <w:rPr>
          <w:b/>
          <w:sz w:val="22"/>
        </w:rPr>
        <w:t>.Differences</w:t>
      </w:r>
      <w:proofErr w:type="gramEnd"/>
      <w:r>
        <w:rPr>
          <w:b/>
          <w:sz w:val="22"/>
        </w:rPr>
        <w:t xml:space="preserve"> in Performance of Islamic Banks and Conventional Banks</w:t>
      </w:r>
    </w:p>
    <w:p w:rsidR="00DD6096" w:rsidRPr="00DD6096" w:rsidRDefault="00DD6096" w:rsidP="00DD6096">
      <w:pPr>
        <w:pStyle w:val="Heading1"/>
        <w:spacing w:after="113"/>
        <w:ind w:left="-5"/>
        <w:jc w:val="both"/>
        <w:rPr>
          <w:szCs w:val="22"/>
        </w:rPr>
      </w:pPr>
      <w:r w:rsidRPr="00DD6096">
        <w:rPr>
          <w:szCs w:val="22"/>
        </w:rPr>
        <w:t>Viewed from the financial statements</w:t>
      </w:r>
    </w:p>
    <w:p w:rsidR="00DD6096" w:rsidRPr="00DD6096" w:rsidRDefault="00DD6096" w:rsidP="009255EA">
      <w:pPr>
        <w:numPr>
          <w:ilvl w:val="0"/>
          <w:numId w:val="3"/>
        </w:numPr>
        <w:spacing w:after="2" w:line="357" w:lineRule="auto"/>
        <w:ind w:hanging="377"/>
        <w:jc w:val="both"/>
        <w:rPr>
          <w:sz w:val="22"/>
        </w:rPr>
      </w:pPr>
      <w:r w:rsidRPr="00DD6096">
        <w:rPr>
          <w:sz w:val="22"/>
        </w:rPr>
        <w:t>Starting with the accounting equation for Islamic banks, namely assets = liabilities + unrestricted investment + equity, while in conventional banks, namely assets = debt + capital, here it can be seen that there is an additional unrestricted investment in the form of unrestricted investment funds (</w:t>
      </w:r>
      <w:proofErr w:type="spellStart"/>
      <w:r w:rsidRPr="00DD6096">
        <w:rPr>
          <w:sz w:val="22"/>
        </w:rPr>
        <w:t>mudharabah</w:t>
      </w:r>
      <w:proofErr w:type="spellEnd"/>
      <w:r w:rsidRPr="00DD6096">
        <w:rPr>
          <w:sz w:val="22"/>
        </w:rPr>
        <w:t xml:space="preserve"> </w:t>
      </w:r>
      <w:proofErr w:type="spellStart"/>
      <w:r w:rsidRPr="00DD6096">
        <w:rPr>
          <w:sz w:val="22"/>
        </w:rPr>
        <w:t>muthiaqah</w:t>
      </w:r>
      <w:proofErr w:type="spellEnd"/>
      <w:r w:rsidRPr="00DD6096">
        <w:rPr>
          <w:sz w:val="22"/>
        </w:rPr>
        <w:t xml:space="preserve">) consisting of </w:t>
      </w:r>
      <w:proofErr w:type="spellStart"/>
      <w:r w:rsidRPr="00DD6096">
        <w:rPr>
          <w:sz w:val="22"/>
        </w:rPr>
        <w:t>mudharobah</w:t>
      </w:r>
      <w:proofErr w:type="spellEnd"/>
      <w:r w:rsidRPr="00DD6096">
        <w:rPr>
          <w:sz w:val="22"/>
        </w:rPr>
        <w:t xml:space="preserve"> savings and </w:t>
      </w:r>
      <w:proofErr w:type="spellStart"/>
      <w:r w:rsidRPr="00DD6096">
        <w:rPr>
          <w:sz w:val="22"/>
        </w:rPr>
        <w:t>mudharobah</w:t>
      </w:r>
      <w:proofErr w:type="spellEnd"/>
      <w:r w:rsidRPr="00DD6096">
        <w:rPr>
          <w:sz w:val="22"/>
        </w:rPr>
        <w:t xml:space="preserve"> deposits.</w:t>
      </w:r>
    </w:p>
    <w:p w:rsidR="00DD6096" w:rsidRPr="00DD6096" w:rsidRDefault="00DD6096" w:rsidP="009255EA">
      <w:pPr>
        <w:numPr>
          <w:ilvl w:val="0"/>
          <w:numId w:val="3"/>
        </w:numPr>
        <w:spacing w:after="6" w:line="356" w:lineRule="auto"/>
        <w:ind w:hanging="377"/>
        <w:jc w:val="both"/>
        <w:rPr>
          <w:sz w:val="22"/>
        </w:rPr>
      </w:pPr>
      <w:r w:rsidRPr="00DD6096">
        <w:rPr>
          <w:sz w:val="22"/>
        </w:rPr>
        <w:t xml:space="preserve">Accounts for sale and purchase accounts receivable at Islamic banks consist of murabahah receivables, </w:t>
      </w:r>
      <w:proofErr w:type="gramStart"/>
      <w:r w:rsidRPr="00DD6096">
        <w:rPr>
          <w:sz w:val="22"/>
        </w:rPr>
        <w:t>salam</w:t>
      </w:r>
      <w:proofErr w:type="gramEnd"/>
      <w:r w:rsidRPr="00DD6096">
        <w:rPr>
          <w:sz w:val="22"/>
        </w:rPr>
        <w:t xml:space="preserve"> receivables, isthisna receivables, qardh receivables, while for conventional banks the account names are trade receivables.</w:t>
      </w:r>
    </w:p>
    <w:p w:rsidR="00DD6096" w:rsidRPr="00DD6096" w:rsidRDefault="00DD6096" w:rsidP="009255EA">
      <w:pPr>
        <w:numPr>
          <w:ilvl w:val="0"/>
          <w:numId w:val="3"/>
        </w:numPr>
        <w:spacing w:after="2" w:line="259" w:lineRule="auto"/>
        <w:ind w:hanging="377"/>
        <w:jc w:val="both"/>
        <w:rPr>
          <w:sz w:val="22"/>
        </w:rPr>
      </w:pPr>
      <w:r w:rsidRPr="00DD6096">
        <w:rPr>
          <w:sz w:val="22"/>
        </w:rPr>
        <w:t>There are differences in the standard concept of Islamic bank balance sheets:</w:t>
      </w:r>
    </w:p>
    <w:tbl>
      <w:tblPr>
        <w:tblStyle w:val="TableGrid0"/>
        <w:tblW w:w="7922" w:type="dxa"/>
        <w:tblInd w:w="936" w:type="dxa"/>
        <w:tblCellMar>
          <w:top w:w="8" w:type="dxa"/>
          <w:right w:w="115" w:type="dxa"/>
        </w:tblCellMar>
        <w:tblLook w:val="04A0" w:firstRow="1" w:lastRow="0" w:firstColumn="1" w:lastColumn="0" w:noHBand="0" w:noVBand="1"/>
      </w:tblPr>
      <w:tblGrid>
        <w:gridCol w:w="518"/>
        <w:gridCol w:w="3443"/>
        <w:gridCol w:w="638"/>
        <w:gridCol w:w="3323"/>
      </w:tblGrid>
      <w:tr w:rsidR="00DD6096" w:rsidRPr="00DD6096" w:rsidTr="00B51FF7">
        <w:trPr>
          <w:trHeight w:val="427"/>
        </w:trPr>
        <w:tc>
          <w:tcPr>
            <w:tcW w:w="518" w:type="dxa"/>
            <w:tcBorders>
              <w:top w:val="single" w:sz="4" w:space="0" w:color="000000"/>
              <w:left w:val="single" w:sz="4" w:space="0" w:color="000000"/>
              <w:bottom w:val="single" w:sz="4" w:space="0" w:color="000000"/>
              <w:right w:val="nil"/>
            </w:tcBorders>
          </w:tcPr>
          <w:p w:rsidR="00DD6096" w:rsidRPr="00DD6096" w:rsidRDefault="00DD6096" w:rsidP="00DD6096">
            <w:pPr>
              <w:spacing w:after="160" w:line="259" w:lineRule="auto"/>
              <w:ind w:firstLine="0"/>
              <w:jc w:val="both"/>
              <w:rPr>
                <w:sz w:val="22"/>
              </w:rPr>
            </w:pPr>
          </w:p>
        </w:tc>
        <w:tc>
          <w:tcPr>
            <w:tcW w:w="3443" w:type="dxa"/>
            <w:tcBorders>
              <w:top w:val="single" w:sz="4" w:space="0" w:color="000000"/>
              <w:left w:val="nil"/>
              <w:bottom w:val="single" w:sz="4" w:space="0" w:color="000000"/>
              <w:right w:val="single" w:sz="4" w:space="0" w:color="000000"/>
            </w:tcBorders>
          </w:tcPr>
          <w:p w:rsidR="00DD6096" w:rsidRPr="00DD6096" w:rsidRDefault="00DD6096" w:rsidP="00DD6096">
            <w:pPr>
              <w:spacing w:line="259" w:lineRule="auto"/>
              <w:ind w:left="857" w:firstLine="0"/>
              <w:jc w:val="both"/>
              <w:rPr>
                <w:sz w:val="22"/>
              </w:rPr>
            </w:pPr>
            <w:r w:rsidRPr="00DD6096">
              <w:rPr>
                <w:b/>
                <w:sz w:val="22"/>
              </w:rPr>
              <w:t>Asset side</w:t>
            </w:r>
          </w:p>
        </w:tc>
        <w:tc>
          <w:tcPr>
            <w:tcW w:w="638" w:type="dxa"/>
            <w:tcBorders>
              <w:top w:val="single" w:sz="4" w:space="0" w:color="000000"/>
              <w:left w:val="single" w:sz="4" w:space="0" w:color="000000"/>
              <w:bottom w:val="single" w:sz="4" w:space="0" w:color="000000"/>
              <w:right w:val="nil"/>
            </w:tcBorders>
          </w:tcPr>
          <w:p w:rsidR="00DD6096" w:rsidRPr="00DD6096" w:rsidRDefault="00DD6096" w:rsidP="00DD6096">
            <w:pPr>
              <w:spacing w:after="160" w:line="259" w:lineRule="auto"/>
              <w:ind w:firstLine="0"/>
              <w:jc w:val="both"/>
              <w:rPr>
                <w:sz w:val="22"/>
              </w:rPr>
            </w:pPr>
          </w:p>
        </w:tc>
        <w:tc>
          <w:tcPr>
            <w:tcW w:w="3323" w:type="dxa"/>
            <w:tcBorders>
              <w:top w:val="single" w:sz="4" w:space="0" w:color="000000"/>
              <w:left w:val="nil"/>
              <w:bottom w:val="single" w:sz="4" w:space="0" w:color="000000"/>
              <w:right w:val="single" w:sz="4" w:space="0" w:color="000000"/>
            </w:tcBorders>
          </w:tcPr>
          <w:p w:rsidR="00DD6096" w:rsidRPr="00DD6096" w:rsidRDefault="00DD6096" w:rsidP="00DD6096">
            <w:pPr>
              <w:spacing w:line="259" w:lineRule="auto"/>
              <w:ind w:left="737" w:firstLine="0"/>
              <w:jc w:val="both"/>
              <w:rPr>
                <w:sz w:val="22"/>
              </w:rPr>
            </w:pPr>
            <w:r w:rsidRPr="00DD6096">
              <w:rPr>
                <w:b/>
                <w:sz w:val="22"/>
              </w:rPr>
              <w:t>Passive side</w:t>
            </w:r>
          </w:p>
        </w:tc>
      </w:tr>
      <w:tr w:rsidR="00DD6096" w:rsidRPr="00DD6096" w:rsidTr="00B51FF7">
        <w:trPr>
          <w:trHeight w:val="3334"/>
        </w:trPr>
        <w:tc>
          <w:tcPr>
            <w:tcW w:w="518" w:type="dxa"/>
            <w:tcBorders>
              <w:top w:val="single" w:sz="4" w:space="0" w:color="000000"/>
              <w:left w:val="single" w:sz="4" w:space="0" w:color="000000"/>
              <w:bottom w:val="single" w:sz="4" w:space="0" w:color="000000"/>
              <w:right w:val="nil"/>
            </w:tcBorders>
          </w:tcPr>
          <w:p w:rsidR="00DD6096" w:rsidRPr="00DD6096" w:rsidRDefault="00DD6096" w:rsidP="00DD6096">
            <w:pPr>
              <w:spacing w:after="1772" w:line="259" w:lineRule="auto"/>
              <w:ind w:left="98" w:firstLine="0"/>
              <w:jc w:val="both"/>
              <w:rPr>
                <w:sz w:val="22"/>
              </w:rPr>
            </w:pPr>
            <w:r w:rsidRPr="00DD6096">
              <w:rPr>
                <w:sz w:val="22"/>
              </w:rPr>
              <w:t>1.</w:t>
            </w:r>
          </w:p>
          <w:p w:rsidR="00DD6096" w:rsidRPr="00DD6096" w:rsidRDefault="00DD6096" w:rsidP="00DD6096">
            <w:pPr>
              <w:spacing w:line="259" w:lineRule="auto"/>
              <w:ind w:left="115" w:firstLine="0"/>
              <w:jc w:val="both"/>
              <w:rPr>
                <w:sz w:val="22"/>
              </w:rPr>
            </w:pPr>
            <w:r w:rsidRPr="00DD6096">
              <w:rPr>
                <w:sz w:val="22"/>
              </w:rPr>
              <w:t>2.</w:t>
            </w:r>
          </w:p>
        </w:tc>
        <w:tc>
          <w:tcPr>
            <w:tcW w:w="3443" w:type="dxa"/>
            <w:tcBorders>
              <w:top w:val="single" w:sz="4" w:space="0" w:color="000000"/>
              <w:left w:val="nil"/>
              <w:bottom w:val="single" w:sz="4" w:space="0" w:color="000000"/>
              <w:right w:val="single" w:sz="4" w:space="0" w:color="000000"/>
            </w:tcBorders>
          </w:tcPr>
          <w:p w:rsidR="00DD6096" w:rsidRPr="00DD6096" w:rsidRDefault="00DD6096" w:rsidP="00DD6096">
            <w:pPr>
              <w:ind w:left="29" w:right="1756" w:hanging="29"/>
              <w:jc w:val="both"/>
              <w:rPr>
                <w:sz w:val="22"/>
              </w:rPr>
            </w:pPr>
            <w:r w:rsidRPr="00DD6096">
              <w:rPr>
                <w:sz w:val="22"/>
              </w:rPr>
              <w:t>Receivables from sale and purchase of mudharabah greetings. other isthisna</w:t>
            </w:r>
          </w:p>
          <w:p w:rsidR="00DD6096" w:rsidRPr="00DD6096" w:rsidRDefault="00DD6096" w:rsidP="00DD6096">
            <w:pPr>
              <w:spacing w:after="115" w:line="259" w:lineRule="auto"/>
              <w:ind w:left="17" w:firstLine="0"/>
              <w:jc w:val="both"/>
              <w:rPr>
                <w:sz w:val="22"/>
              </w:rPr>
            </w:pPr>
            <w:r w:rsidRPr="00DD6096">
              <w:rPr>
                <w:sz w:val="22"/>
              </w:rPr>
              <w:t>Financing</w:t>
            </w:r>
          </w:p>
          <w:p w:rsidR="00DD6096" w:rsidRPr="00DD6096" w:rsidRDefault="00DD6096" w:rsidP="00DD6096">
            <w:pPr>
              <w:spacing w:after="112" w:line="259" w:lineRule="auto"/>
              <w:ind w:left="29" w:firstLine="0"/>
              <w:jc w:val="both"/>
              <w:rPr>
                <w:sz w:val="22"/>
              </w:rPr>
            </w:pPr>
            <w:r w:rsidRPr="00DD6096">
              <w:rPr>
                <w:sz w:val="22"/>
              </w:rPr>
              <w:t>Mudharabah</w:t>
            </w:r>
          </w:p>
          <w:p w:rsidR="00DD6096" w:rsidRPr="00DD6096" w:rsidRDefault="00DD6096" w:rsidP="00DD6096">
            <w:pPr>
              <w:spacing w:line="259" w:lineRule="auto"/>
              <w:ind w:left="29" w:firstLine="0"/>
              <w:jc w:val="both"/>
              <w:rPr>
                <w:sz w:val="22"/>
              </w:rPr>
            </w:pPr>
            <w:r w:rsidRPr="00DD6096">
              <w:rPr>
                <w:sz w:val="22"/>
              </w:rPr>
              <w:t>Musyarakah</w:t>
            </w:r>
          </w:p>
        </w:tc>
        <w:tc>
          <w:tcPr>
            <w:tcW w:w="638" w:type="dxa"/>
            <w:tcBorders>
              <w:top w:val="single" w:sz="4" w:space="0" w:color="000000"/>
              <w:left w:val="single" w:sz="4" w:space="0" w:color="000000"/>
              <w:bottom w:val="single" w:sz="4" w:space="0" w:color="000000"/>
              <w:right w:val="nil"/>
            </w:tcBorders>
          </w:tcPr>
          <w:p w:rsidR="00DD6096" w:rsidRPr="00DD6096" w:rsidRDefault="00DD6096" w:rsidP="00DD6096">
            <w:pPr>
              <w:spacing w:after="1359" w:line="259" w:lineRule="auto"/>
              <w:ind w:left="115" w:firstLine="0"/>
              <w:jc w:val="both"/>
              <w:rPr>
                <w:sz w:val="22"/>
              </w:rPr>
            </w:pPr>
            <w:r w:rsidRPr="00DD6096">
              <w:rPr>
                <w:sz w:val="22"/>
              </w:rPr>
              <w:t>1.</w:t>
            </w:r>
          </w:p>
          <w:p w:rsidR="00DD6096" w:rsidRPr="00DD6096" w:rsidRDefault="00DD6096" w:rsidP="00DD6096">
            <w:pPr>
              <w:spacing w:after="943" w:line="259" w:lineRule="auto"/>
              <w:ind w:left="115" w:firstLine="0"/>
              <w:jc w:val="both"/>
              <w:rPr>
                <w:sz w:val="22"/>
              </w:rPr>
            </w:pPr>
            <w:r w:rsidRPr="00DD6096">
              <w:rPr>
                <w:sz w:val="22"/>
              </w:rPr>
              <w:t>2.</w:t>
            </w:r>
          </w:p>
          <w:p w:rsidR="00DD6096" w:rsidRPr="00DD6096" w:rsidRDefault="00DD6096" w:rsidP="00DD6096">
            <w:pPr>
              <w:spacing w:line="259" w:lineRule="auto"/>
              <w:ind w:left="113" w:firstLine="0"/>
              <w:jc w:val="both"/>
              <w:rPr>
                <w:sz w:val="22"/>
              </w:rPr>
            </w:pPr>
            <w:r w:rsidRPr="00DD6096">
              <w:rPr>
                <w:sz w:val="22"/>
              </w:rPr>
              <w:t>3.</w:t>
            </w:r>
          </w:p>
        </w:tc>
        <w:tc>
          <w:tcPr>
            <w:tcW w:w="3323" w:type="dxa"/>
            <w:tcBorders>
              <w:top w:val="single" w:sz="4" w:space="0" w:color="000000"/>
              <w:left w:val="nil"/>
              <w:bottom w:val="single" w:sz="4" w:space="0" w:color="000000"/>
              <w:right w:val="single" w:sz="4" w:space="0" w:color="000000"/>
            </w:tcBorders>
          </w:tcPr>
          <w:p w:rsidR="00DD6096" w:rsidRPr="00DD6096" w:rsidRDefault="00DD6096" w:rsidP="00DD6096">
            <w:pPr>
              <w:spacing w:after="112" w:line="259" w:lineRule="auto"/>
              <w:ind w:firstLine="0"/>
              <w:jc w:val="both"/>
              <w:rPr>
                <w:sz w:val="22"/>
              </w:rPr>
            </w:pPr>
            <w:r w:rsidRPr="00DD6096">
              <w:rPr>
                <w:sz w:val="22"/>
              </w:rPr>
              <w:t>Third-party funds</w:t>
            </w:r>
          </w:p>
          <w:p w:rsidR="00DD6096" w:rsidRPr="00DD6096" w:rsidRDefault="00DD6096" w:rsidP="00DD6096">
            <w:pPr>
              <w:tabs>
                <w:tab w:val="center" w:pos="1416"/>
              </w:tabs>
              <w:spacing w:after="121" w:line="259" w:lineRule="auto"/>
              <w:ind w:firstLine="0"/>
              <w:jc w:val="both"/>
              <w:rPr>
                <w:sz w:val="22"/>
              </w:rPr>
            </w:pPr>
            <w:r w:rsidRPr="00DD6096">
              <w:rPr>
                <w:sz w:val="22"/>
              </w:rPr>
              <w:t>giro</w:t>
            </w:r>
            <w:r w:rsidRPr="00DD6096">
              <w:rPr>
                <w:sz w:val="22"/>
              </w:rPr>
              <w:tab/>
              <w:t>wadiah</w:t>
            </w:r>
          </w:p>
          <w:p w:rsidR="00DD6096" w:rsidRPr="00DD6096" w:rsidRDefault="00DD6096" w:rsidP="00DD6096">
            <w:pPr>
              <w:spacing w:after="112" w:line="259" w:lineRule="auto"/>
              <w:ind w:firstLine="0"/>
              <w:jc w:val="both"/>
              <w:rPr>
                <w:sz w:val="22"/>
              </w:rPr>
            </w:pPr>
            <w:r w:rsidRPr="00DD6096">
              <w:rPr>
                <w:sz w:val="22"/>
              </w:rPr>
              <w:t>Wadiah savings</w:t>
            </w:r>
          </w:p>
          <w:p w:rsidR="00DD6096" w:rsidRPr="00DD6096" w:rsidRDefault="00DD6096" w:rsidP="00DD6096">
            <w:pPr>
              <w:spacing w:after="115" w:line="259" w:lineRule="auto"/>
              <w:ind w:firstLine="0"/>
              <w:jc w:val="both"/>
              <w:rPr>
                <w:sz w:val="22"/>
              </w:rPr>
            </w:pPr>
            <w:r w:rsidRPr="00DD6096">
              <w:rPr>
                <w:sz w:val="22"/>
              </w:rPr>
              <w:t>Wadiah deposits</w:t>
            </w:r>
          </w:p>
          <w:p w:rsidR="00DD6096" w:rsidRPr="00DD6096" w:rsidRDefault="00DD6096" w:rsidP="00DD6096">
            <w:pPr>
              <w:spacing w:after="112" w:line="259" w:lineRule="auto"/>
              <w:ind w:firstLine="0"/>
              <w:jc w:val="both"/>
              <w:rPr>
                <w:sz w:val="22"/>
              </w:rPr>
            </w:pPr>
            <w:r w:rsidRPr="00DD6096">
              <w:rPr>
                <w:sz w:val="22"/>
              </w:rPr>
              <w:t>Unrestricted investment</w:t>
            </w:r>
          </w:p>
          <w:p w:rsidR="00DD6096" w:rsidRPr="00DD6096" w:rsidRDefault="00DD6096" w:rsidP="00DD6096">
            <w:pPr>
              <w:spacing w:after="115" w:line="259" w:lineRule="auto"/>
              <w:ind w:firstLine="0"/>
              <w:jc w:val="both"/>
              <w:rPr>
                <w:sz w:val="22"/>
              </w:rPr>
            </w:pPr>
            <w:r w:rsidRPr="00DD6096">
              <w:rPr>
                <w:sz w:val="22"/>
              </w:rPr>
              <w:t>Mudharabah savings</w:t>
            </w:r>
          </w:p>
          <w:p w:rsidR="00DD6096" w:rsidRPr="00DD6096" w:rsidRDefault="00DD6096" w:rsidP="00DD6096">
            <w:pPr>
              <w:spacing w:after="112" w:line="259" w:lineRule="auto"/>
              <w:ind w:firstLine="0"/>
              <w:jc w:val="both"/>
              <w:rPr>
                <w:sz w:val="22"/>
              </w:rPr>
            </w:pPr>
            <w:r w:rsidRPr="00DD6096">
              <w:rPr>
                <w:sz w:val="22"/>
              </w:rPr>
              <w:t>Muarabah deposits</w:t>
            </w:r>
          </w:p>
          <w:p w:rsidR="00DD6096" w:rsidRPr="00DD6096" w:rsidRDefault="00DD6096" w:rsidP="00DD6096">
            <w:pPr>
              <w:spacing w:line="259" w:lineRule="auto"/>
              <w:ind w:left="17" w:firstLine="0"/>
              <w:jc w:val="both"/>
              <w:rPr>
                <w:sz w:val="22"/>
              </w:rPr>
            </w:pPr>
            <w:r w:rsidRPr="00DD6096">
              <w:rPr>
                <w:sz w:val="22"/>
              </w:rPr>
              <w:t>equity</w:t>
            </w:r>
          </w:p>
        </w:tc>
      </w:tr>
    </w:tbl>
    <w:p w:rsidR="00DD6096" w:rsidRPr="00DD6096" w:rsidRDefault="00DD6096" w:rsidP="00DD6096">
      <w:pPr>
        <w:spacing w:after="116" w:line="259" w:lineRule="auto"/>
        <w:ind w:left="377" w:firstLine="0"/>
        <w:jc w:val="both"/>
        <w:rPr>
          <w:sz w:val="22"/>
        </w:rPr>
      </w:pPr>
      <w:r w:rsidRPr="00DD6096">
        <w:rPr>
          <w:sz w:val="22"/>
        </w:rPr>
        <w:t xml:space="preserve"> </w:t>
      </w:r>
    </w:p>
    <w:p w:rsidR="00DD6096" w:rsidRPr="00DD6096" w:rsidRDefault="00D41116" w:rsidP="009255EA">
      <w:pPr>
        <w:numPr>
          <w:ilvl w:val="0"/>
          <w:numId w:val="3"/>
        </w:numPr>
        <w:spacing w:after="2" w:line="357" w:lineRule="auto"/>
        <w:ind w:hanging="377"/>
        <w:jc w:val="both"/>
        <w:rPr>
          <w:sz w:val="22"/>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4947920</wp:posOffset>
                </wp:positionH>
                <wp:positionV relativeFrom="paragraph">
                  <wp:posOffset>1999453</wp:posOffset>
                </wp:positionV>
                <wp:extent cx="616689" cy="308344"/>
                <wp:effectExtent l="0" t="0" r="0" b="0"/>
                <wp:wrapNone/>
                <wp:docPr id="1" name="Rectangle 1"/>
                <wp:cNvGraphicFramePr/>
                <a:graphic xmlns:a="http://schemas.openxmlformats.org/drawingml/2006/main">
                  <a:graphicData uri="http://schemas.microsoft.com/office/word/2010/wordprocessingShape">
                    <wps:wsp>
                      <wps:cNvSpPr/>
                      <wps:spPr>
                        <a:xfrm>
                          <a:off x="0" y="0"/>
                          <a:ext cx="616689" cy="30834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1116" w:rsidRPr="00D41116" w:rsidRDefault="00D41116" w:rsidP="00D41116">
                            <w:pPr>
                              <w:ind w:firstLine="0"/>
                              <w:rPr>
                                <w:color w:val="000000" w:themeColor="text1"/>
                                <w:sz w:val="22"/>
                              </w:rPr>
                            </w:pPr>
                            <w:r w:rsidRPr="00D41116">
                              <w:rPr>
                                <w:color w:val="000000" w:themeColor="text1"/>
                                <w:sz w:val="22"/>
                              </w:rPr>
                              <w:t>275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89.6pt;margin-top:157.45pt;width:48.55pt;height:24.3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" fillcolor="#0070c0" stroked="f" strokeweight="2pt">
                <v:textbox>
                  <w:txbxContent>
                    <w:p w:rsidR="00D41116" w:rsidRPr="00D41116" w:rsidRDefault="00D41116" w:rsidP="00D41116">
                      <w:pPr>
                        <w:ind w:firstLine="0"/>
                        <w:rPr>
                          <w:color w:val="000000" w:themeColor="text1"/>
                          <w:sz w:val="22"/>
                        </w:rPr>
                      </w:pPr>
                      <w:r w:rsidRPr="00D41116">
                        <w:rPr>
                          <w:color w:val="000000" w:themeColor="text1"/>
                          <w:sz w:val="22"/>
                        </w:rPr>
                        <w:t>275</w:t>
                      </w:r>
                    </w:p>
                  </w:txbxContent>
                </v:textbox>
              </v:rect>
            </w:pict>
          </mc:Fallback>
        </mc:AlternateContent>
      </w:r>
      <w:r w:rsidR="00DD6096" w:rsidRPr="00DD6096">
        <w:rPr>
          <w:sz w:val="22"/>
        </w:rPr>
        <w:t>In addition to the financial statements, the reports are the same (balance sheet, profit and loss statement, reports on changes in equity and cash flow as conventional banks, but for Islamic banks, there are several additional financial reports for Islamic banks, such as reports on sources and uses of ZIS funds as zakat infaq sadaqah which will be channeled through qard while not at conventional banks, reports on the source and use of qardh funds here are Islamic banks as carriers of social functions there are also reports on changes in investment funds that are not bound here banks as sharia agents</w:t>
      </w:r>
    </w:p>
    <w:p w:rsidR="00DD6096" w:rsidRPr="00DD6096" w:rsidRDefault="00DD6096" w:rsidP="009255EA">
      <w:pPr>
        <w:numPr>
          <w:ilvl w:val="0"/>
          <w:numId w:val="3"/>
        </w:numPr>
        <w:spacing w:after="2" w:line="357" w:lineRule="auto"/>
        <w:ind w:hanging="377"/>
        <w:jc w:val="both"/>
        <w:rPr>
          <w:sz w:val="22"/>
        </w:rPr>
      </w:pPr>
      <w:r w:rsidRPr="00DD6096">
        <w:rPr>
          <w:sz w:val="22"/>
        </w:rPr>
        <w:lastRenderedPageBreak/>
        <w:t>In conventional banks there are no qard loans, namely giving assets to other people that can be billed or asked for back, lending without expecting anything in return and not a commercial transaction.</w:t>
      </w:r>
    </w:p>
    <w:p w:rsidR="00DD6096" w:rsidRPr="00DD6096" w:rsidRDefault="00DD6096" w:rsidP="009255EA">
      <w:pPr>
        <w:numPr>
          <w:ilvl w:val="0"/>
          <w:numId w:val="3"/>
        </w:numPr>
        <w:spacing w:after="2" w:line="357" w:lineRule="auto"/>
        <w:ind w:hanging="377"/>
        <w:jc w:val="both"/>
        <w:rPr>
          <w:sz w:val="22"/>
        </w:rPr>
      </w:pPr>
      <w:r w:rsidRPr="00DD6096">
        <w:rPr>
          <w:sz w:val="22"/>
        </w:rPr>
        <w:t>There is a distribution of profit sharing because the goals of Islamic banks are based on profit sharing, buying and selling and leasing.</w:t>
      </w:r>
    </w:p>
    <w:p w:rsidR="00DD6096" w:rsidRPr="00DD6096" w:rsidRDefault="00DD6096" w:rsidP="009255EA">
      <w:pPr>
        <w:numPr>
          <w:ilvl w:val="0"/>
          <w:numId w:val="3"/>
        </w:numPr>
        <w:spacing w:after="117" w:line="259" w:lineRule="auto"/>
        <w:ind w:hanging="377"/>
        <w:jc w:val="both"/>
        <w:rPr>
          <w:sz w:val="22"/>
        </w:rPr>
      </w:pPr>
      <w:r w:rsidRPr="00DD6096">
        <w:rPr>
          <w:sz w:val="22"/>
        </w:rPr>
        <w:t>In the income statement of Islamic vs conventional banks, there are differences, namely</w:t>
      </w:r>
    </w:p>
    <w:p w:rsidR="00DD6096" w:rsidRPr="00DD6096" w:rsidRDefault="00DD6096" w:rsidP="00DD6096">
      <w:pPr>
        <w:spacing w:line="259" w:lineRule="auto"/>
        <w:ind w:firstLine="0"/>
        <w:jc w:val="both"/>
        <w:rPr>
          <w:sz w:val="22"/>
        </w:rPr>
      </w:pPr>
      <w:r w:rsidRPr="00DD6096">
        <w:rPr>
          <w:sz w:val="22"/>
        </w:rPr>
        <w:t xml:space="preserve"> </w:t>
      </w:r>
    </w:p>
    <w:tbl>
      <w:tblPr>
        <w:tblStyle w:val="TableGrid0"/>
        <w:tblW w:w="7939" w:type="dxa"/>
        <w:tblInd w:w="994" w:type="dxa"/>
        <w:tblCellMar>
          <w:top w:w="9" w:type="dxa"/>
          <w:left w:w="108" w:type="dxa"/>
          <w:right w:w="46" w:type="dxa"/>
        </w:tblCellMar>
        <w:tblLook w:val="04A0" w:firstRow="1" w:lastRow="0" w:firstColumn="1" w:lastColumn="0" w:noHBand="0" w:noVBand="1"/>
      </w:tblPr>
      <w:tblGrid>
        <w:gridCol w:w="3971"/>
        <w:gridCol w:w="3968"/>
      </w:tblGrid>
      <w:tr w:rsidR="00DD6096" w:rsidRPr="00DD6096" w:rsidTr="00B51FF7">
        <w:trPr>
          <w:trHeight w:val="557"/>
        </w:trPr>
        <w:tc>
          <w:tcPr>
            <w:tcW w:w="3971" w:type="dxa"/>
            <w:tcBorders>
              <w:top w:val="single" w:sz="4" w:space="0" w:color="000000"/>
              <w:left w:val="single" w:sz="4" w:space="0" w:color="000000"/>
              <w:bottom w:val="single" w:sz="4" w:space="0" w:color="000000"/>
              <w:right w:val="single" w:sz="4" w:space="0" w:color="000000"/>
            </w:tcBorders>
            <w:vAlign w:val="center"/>
          </w:tcPr>
          <w:p w:rsidR="00DD6096" w:rsidRPr="00DD6096" w:rsidRDefault="00DD6096" w:rsidP="00DD6096">
            <w:pPr>
              <w:spacing w:line="259" w:lineRule="auto"/>
              <w:ind w:firstLine="0"/>
              <w:jc w:val="both"/>
              <w:rPr>
                <w:sz w:val="22"/>
              </w:rPr>
            </w:pPr>
            <w:r w:rsidRPr="00DD6096">
              <w:rPr>
                <w:b/>
                <w:sz w:val="22"/>
              </w:rPr>
              <w:t>Islamic Bank</w:t>
            </w:r>
          </w:p>
        </w:tc>
        <w:tc>
          <w:tcPr>
            <w:tcW w:w="3968" w:type="dxa"/>
            <w:tcBorders>
              <w:top w:val="single" w:sz="4" w:space="0" w:color="000000"/>
              <w:left w:val="single" w:sz="4" w:space="0" w:color="000000"/>
              <w:bottom w:val="single" w:sz="4" w:space="0" w:color="000000"/>
              <w:right w:val="single" w:sz="4" w:space="0" w:color="000000"/>
            </w:tcBorders>
            <w:vAlign w:val="center"/>
          </w:tcPr>
          <w:p w:rsidR="00DD6096" w:rsidRPr="00DD6096" w:rsidRDefault="00DD6096" w:rsidP="00DD6096">
            <w:pPr>
              <w:spacing w:line="259" w:lineRule="auto"/>
              <w:ind w:firstLine="0"/>
              <w:jc w:val="both"/>
              <w:rPr>
                <w:sz w:val="22"/>
              </w:rPr>
            </w:pPr>
            <w:r w:rsidRPr="00DD6096">
              <w:rPr>
                <w:b/>
                <w:sz w:val="22"/>
              </w:rPr>
              <w:t>Conventional Banks</w:t>
            </w:r>
          </w:p>
        </w:tc>
      </w:tr>
      <w:tr w:rsidR="00DD6096" w:rsidRPr="00DD6096" w:rsidTr="00B51FF7">
        <w:trPr>
          <w:trHeight w:val="1666"/>
        </w:trPr>
        <w:tc>
          <w:tcPr>
            <w:tcW w:w="3971" w:type="dxa"/>
            <w:tcBorders>
              <w:top w:val="single" w:sz="4" w:space="0" w:color="000000"/>
              <w:left w:val="single" w:sz="4" w:space="0" w:color="000000"/>
              <w:bottom w:val="single" w:sz="4" w:space="0" w:color="000000"/>
              <w:right w:val="single" w:sz="4" w:space="0" w:color="000000"/>
            </w:tcBorders>
          </w:tcPr>
          <w:p w:rsidR="00DD6096" w:rsidRPr="00DD6096" w:rsidRDefault="00DD6096" w:rsidP="009255EA">
            <w:pPr>
              <w:numPr>
                <w:ilvl w:val="0"/>
                <w:numId w:val="4"/>
              </w:numPr>
              <w:spacing w:after="257" w:line="259" w:lineRule="auto"/>
              <w:ind w:hanging="242"/>
              <w:jc w:val="both"/>
              <w:rPr>
                <w:sz w:val="22"/>
              </w:rPr>
            </w:pPr>
            <w:r w:rsidRPr="00DD6096">
              <w:rPr>
                <w:sz w:val="22"/>
              </w:rPr>
              <w:t>Net interest income</w:t>
            </w:r>
          </w:p>
          <w:p w:rsidR="00DD6096" w:rsidRPr="00DD6096" w:rsidRDefault="00DD6096" w:rsidP="009255EA">
            <w:pPr>
              <w:numPr>
                <w:ilvl w:val="0"/>
                <w:numId w:val="4"/>
              </w:numPr>
              <w:spacing w:after="253" w:line="259" w:lineRule="auto"/>
              <w:ind w:hanging="242"/>
              <w:jc w:val="both"/>
              <w:rPr>
                <w:sz w:val="22"/>
              </w:rPr>
            </w:pPr>
            <w:r w:rsidRPr="00DD6096">
              <w:rPr>
                <w:sz w:val="22"/>
              </w:rPr>
              <w:t>Operating expense</w:t>
            </w:r>
          </w:p>
          <w:p w:rsidR="00DD6096" w:rsidRPr="00DD6096" w:rsidRDefault="00DD6096" w:rsidP="009255EA">
            <w:pPr>
              <w:numPr>
                <w:ilvl w:val="0"/>
                <w:numId w:val="4"/>
              </w:numPr>
              <w:spacing w:line="259" w:lineRule="auto"/>
              <w:ind w:hanging="242"/>
              <w:jc w:val="both"/>
              <w:rPr>
                <w:sz w:val="22"/>
              </w:rPr>
            </w:pPr>
            <w:r w:rsidRPr="00DD6096">
              <w:rPr>
                <w:sz w:val="22"/>
              </w:rPr>
              <w:t>operating profit</w:t>
            </w:r>
          </w:p>
        </w:tc>
        <w:tc>
          <w:tcPr>
            <w:tcW w:w="3968"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line="259" w:lineRule="auto"/>
              <w:ind w:left="540" w:right="60" w:hanging="341"/>
              <w:jc w:val="both"/>
              <w:rPr>
                <w:sz w:val="22"/>
              </w:rPr>
            </w:pPr>
            <w:r w:rsidRPr="00DD6096">
              <w:rPr>
                <w:sz w:val="22"/>
              </w:rPr>
              <w:t>1. Operating income for sharia activities a. income from distribution of funds b. operational income</w:t>
            </w:r>
          </w:p>
        </w:tc>
      </w:tr>
      <w:tr w:rsidR="00DD6096" w:rsidRPr="00DD6096" w:rsidTr="00B51FF7">
        <w:trPr>
          <w:trHeight w:val="6911"/>
        </w:trPr>
        <w:tc>
          <w:tcPr>
            <w:tcW w:w="3971" w:type="dxa"/>
            <w:tcBorders>
              <w:top w:val="single" w:sz="4" w:space="0" w:color="000000"/>
              <w:left w:val="single" w:sz="4" w:space="0" w:color="000000"/>
              <w:bottom w:val="single" w:sz="4" w:space="0" w:color="000000"/>
              <w:right w:val="single" w:sz="4" w:space="0" w:color="000000"/>
            </w:tcBorders>
          </w:tcPr>
          <w:p w:rsidR="00DD6096" w:rsidRPr="00DD6096" w:rsidRDefault="00DD6096" w:rsidP="009255EA">
            <w:pPr>
              <w:numPr>
                <w:ilvl w:val="0"/>
                <w:numId w:val="5"/>
              </w:numPr>
              <w:spacing w:after="253" w:line="259" w:lineRule="auto"/>
              <w:ind w:hanging="242"/>
              <w:jc w:val="both"/>
              <w:rPr>
                <w:sz w:val="22"/>
              </w:rPr>
            </w:pPr>
            <w:r w:rsidRPr="00DD6096">
              <w:rPr>
                <w:sz w:val="22"/>
              </w:rPr>
              <w:t>Non-operating income</w:t>
            </w:r>
          </w:p>
          <w:p w:rsidR="00DD6096" w:rsidRPr="00DD6096" w:rsidRDefault="00DD6096" w:rsidP="009255EA">
            <w:pPr>
              <w:numPr>
                <w:ilvl w:val="0"/>
                <w:numId w:val="5"/>
              </w:numPr>
              <w:spacing w:after="257" w:line="259" w:lineRule="auto"/>
              <w:ind w:hanging="242"/>
              <w:jc w:val="both"/>
              <w:rPr>
                <w:sz w:val="22"/>
              </w:rPr>
            </w:pPr>
            <w:r w:rsidRPr="00DD6096">
              <w:rPr>
                <w:sz w:val="22"/>
              </w:rPr>
              <w:t>Non operating expense</w:t>
            </w:r>
          </w:p>
          <w:p w:rsidR="00DD6096" w:rsidRPr="00DD6096" w:rsidRDefault="00DD6096" w:rsidP="009255EA">
            <w:pPr>
              <w:numPr>
                <w:ilvl w:val="0"/>
                <w:numId w:val="5"/>
              </w:numPr>
              <w:spacing w:after="253" w:line="259" w:lineRule="auto"/>
              <w:ind w:hanging="242"/>
              <w:jc w:val="both"/>
              <w:rPr>
                <w:sz w:val="22"/>
              </w:rPr>
            </w:pPr>
            <w:r w:rsidRPr="00DD6096">
              <w:rPr>
                <w:sz w:val="22"/>
              </w:rPr>
              <w:t>Profit after tax</w:t>
            </w:r>
          </w:p>
          <w:p w:rsidR="00DD6096" w:rsidRPr="00DD6096" w:rsidRDefault="00DD6096" w:rsidP="009255EA">
            <w:pPr>
              <w:numPr>
                <w:ilvl w:val="0"/>
                <w:numId w:val="5"/>
              </w:numPr>
              <w:spacing w:after="255" w:line="259" w:lineRule="auto"/>
              <w:ind w:hanging="242"/>
              <w:jc w:val="both"/>
              <w:rPr>
                <w:sz w:val="22"/>
              </w:rPr>
            </w:pPr>
            <w:r w:rsidRPr="00DD6096">
              <w:rPr>
                <w:sz w:val="22"/>
              </w:rPr>
              <w:t>income tax</w:t>
            </w:r>
          </w:p>
          <w:p w:rsidR="00DD6096" w:rsidRPr="00DD6096" w:rsidRDefault="00DD6096" w:rsidP="009255EA">
            <w:pPr>
              <w:numPr>
                <w:ilvl w:val="0"/>
                <w:numId w:val="5"/>
              </w:numPr>
              <w:spacing w:line="259" w:lineRule="auto"/>
              <w:ind w:hanging="242"/>
              <w:jc w:val="both"/>
              <w:rPr>
                <w:sz w:val="22"/>
              </w:rPr>
            </w:pPr>
            <w:r w:rsidRPr="00DD6096">
              <w:rPr>
                <w:sz w:val="22"/>
              </w:rPr>
              <w:t>Net profit</w:t>
            </w:r>
          </w:p>
        </w:tc>
        <w:tc>
          <w:tcPr>
            <w:tcW w:w="3968"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after="116" w:line="259" w:lineRule="auto"/>
              <w:ind w:left="434" w:firstLine="0"/>
              <w:jc w:val="both"/>
              <w:rPr>
                <w:sz w:val="22"/>
              </w:rPr>
            </w:pPr>
            <w:r w:rsidRPr="00DD6096">
              <w:rPr>
                <w:sz w:val="22"/>
              </w:rPr>
              <w:t>other</w:t>
            </w:r>
          </w:p>
          <w:p w:rsidR="00DD6096" w:rsidRPr="00DD6096" w:rsidRDefault="00DD6096" w:rsidP="009255EA">
            <w:pPr>
              <w:numPr>
                <w:ilvl w:val="0"/>
                <w:numId w:val="6"/>
              </w:numPr>
              <w:spacing w:after="1" w:line="358" w:lineRule="auto"/>
              <w:ind w:hanging="552"/>
              <w:jc w:val="both"/>
              <w:rPr>
                <w:sz w:val="22"/>
              </w:rPr>
            </w:pPr>
            <w:r w:rsidRPr="00DD6096">
              <w:rPr>
                <w:sz w:val="22"/>
              </w:rPr>
              <w:t>Profit sharing for unrestricted fund investors</w:t>
            </w:r>
          </w:p>
          <w:p w:rsidR="00DD6096" w:rsidRPr="00DD6096" w:rsidRDefault="00DD6096" w:rsidP="009255EA">
            <w:pPr>
              <w:numPr>
                <w:ilvl w:val="0"/>
                <w:numId w:val="6"/>
              </w:numPr>
              <w:spacing w:line="358" w:lineRule="auto"/>
              <w:ind w:hanging="552"/>
              <w:jc w:val="both"/>
              <w:rPr>
                <w:sz w:val="22"/>
              </w:rPr>
            </w:pPr>
            <w:r w:rsidRPr="00DD6096">
              <w:rPr>
                <w:sz w:val="22"/>
              </w:rPr>
              <w:t>Operating income after profit sharing distribution for</w:t>
            </w:r>
          </w:p>
          <w:p w:rsidR="00DD6096" w:rsidRPr="00DD6096" w:rsidRDefault="00DD6096" w:rsidP="00DD6096">
            <w:pPr>
              <w:spacing w:after="118" w:line="259" w:lineRule="auto"/>
              <w:ind w:left="348" w:firstLine="0"/>
              <w:jc w:val="both"/>
              <w:rPr>
                <w:sz w:val="22"/>
              </w:rPr>
            </w:pPr>
            <w:r w:rsidRPr="00DD6096">
              <w:rPr>
                <w:sz w:val="22"/>
              </w:rPr>
              <w:t>unrestricted fund investors</w:t>
            </w:r>
          </w:p>
          <w:p w:rsidR="00DD6096" w:rsidRPr="00DD6096" w:rsidRDefault="00DD6096" w:rsidP="009255EA">
            <w:pPr>
              <w:numPr>
                <w:ilvl w:val="0"/>
                <w:numId w:val="6"/>
              </w:numPr>
              <w:spacing w:after="6" w:line="356" w:lineRule="auto"/>
              <w:ind w:hanging="552"/>
              <w:jc w:val="both"/>
              <w:rPr>
                <w:sz w:val="22"/>
              </w:rPr>
            </w:pPr>
            <w:r w:rsidRPr="00DD6096">
              <w:rPr>
                <w:sz w:val="22"/>
              </w:rPr>
              <w:t>Provision for asset losses</w:t>
            </w:r>
          </w:p>
          <w:p w:rsidR="00DD6096" w:rsidRPr="00DD6096" w:rsidRDefault="00DD6096" w:rsidP="009255EA">
            <w:pPr>
              <w:numPr>
                <w:ilvl w:val="0"/>
                <w:numId w:val="6"/>
              </w:numPr>
              <w:spacing w:after="136" w:line="362" w:lineRule="auto"/>
              <w:ind w:hanging="552"/>
              <w:jc w:val="both"/>
              <w:rPr>
                <w:sz w:val="22"/>
              </w:rPr>
            </w:pPr>
            <w:r w:rsidRPr="00DD6096">
              <w:rPr>
                <w:sz w:val="22"/>
              </w:rPr>
              <w:t>burden</w:t>
            </w:r>
            <w:r w:rsidRPr="00DD6096">
              <w:rPr>
                <w:sz w:val="22"/>
              </w:rPr>
              <w:tab/>
              <w:t>estimate</w:t>
            </w:r>
            <w:r w:rsidRPr="00DD6096">
              <w:rPr>
                <w:sz w:val="22"/>
              </w:rPr>
              <w:tab/>
              <w:t>loss</w:t>
            </w:r>
            <w:r w:rsidRPr="00DD6096">
              <w:rPr>
                <w:sz w:val="22"/>
              </w:rPr>
              <w:tab/>
              <w:t>Andcontingencies</w:t>
            </w:r>
          </w:p>
          <w:p w:rsidR="00DD6096" w:rsidRPr="00DD6096" w:rsidRDefault="00DD6096" w:rsidP="009255EA">
            <w:pPr>
              <w:numPr>
                <w:ilvl w:val="0"/>
                <w:numId w:val="6"/>
              </w:numPr>
              <w:spacing w:after="255" w:line="259" w:lineRule="auto"/>
              <w:ind w:hanging="552"/>
              <w:jc w:val="both"/>
              <w:rPr>
                <w:sz w:val="22"/>
              </w:rPr>
            </w:pPr>
            <w:r w:rsidRPr="00DD6096">
              <w:rPr>
                <w:sz w:val="22"/>
              </w:rPr>
              <w:t>other operating expenses</w:t>
            </w:r>
          </w:p>
          <w:p w:rsidR="00DD6096" w:rsidRPr="00DD6096" w:rsidRDefault="00DD6096" w:rsidP="009255EA">
            <w:pPr>
              <w:numPr>
                <w:ilvl w:val="0"/>
                <w:numId w:val="6"/>
              </w:numPr>
              <w:spacing w:after="255" w:line="259" w:lineRule="auto"/>
              <w:ind w:hanging="552"/>
              <w:jc w:val="both"/>
              <w:rPr>
                <w:sz w:val="22"/>
              </w:rPr>
            </w:pPr>
            <w:r w:rsidRPr="00DD6096">
              <w:rPr>
                <w:sz w:val="22"/>
              </w:rPr>
              <w:t>Operational profit(loss).</w:t>
            </w:r>
          </w:p>
          <w:p w:rsidR="00DD6096" w:rsidRPr="00DD6096" w:rsidRDefault="00DD6096" w:rsidP="009255EA">
            <w:pPr>
              <w:numPr>
                <w:ilvl w:val="0"/>
                <w:numId w:val="6"/>
              </w:numPr>
              <w:spacing w:after="255" w:line="259" w:lineRule="auto"/>
              <w:ind w:hanging="552"/>
              <w:jc w:val="both"/>
              <w:rPr>
                <w:sz w:val="22"/>
              </w:rPr>
            </w:pPr>
            <w:r w:rsidRPr="00DD6096">
              <w:rPr>
                <w:sz w:val="22"/>
              </w:rPr>
              <w:t>Non-operating income</w:t>
            </w:r>
          </w:p>
          <w:p w:rsidR="00DD6096" w:rsidRPr="00DD6096" w:rsidRDefault="00DD6096" w:rsidP="009255EA">
            <w:pPr>
              <w:numPr>
                <w:ilvl w:val="0"/>
                <w:numId w:val="6"/>
              </w:numPr>
              <w:spacing w:after="257" w:line="259" w:lineRule="auto"/>
              <w:ind w:hanging="552"/>
              <w:jc w:val="both"/>
              <w:rPr>
                <w:sz w:val="22"/>
              </w:rPr>
            </w:pPr>
            <w:r w:rsidRPr="00DD6096">
              <w:rPr>
                <w:sz w:val="22"/>
              </w:rPr>
              <w:t>Non operating expense</w:t>
            </w:r>
          </w:p>
          <w:p w:rsidR="00DD6096" w:rsidRPr="00DD6096" w:rsidRDefault="00DD6096" w:rsidP="009255EA">
            <w:pPr>
              <w:numPr>
                <w:ilvl w:val="0"/>
                <w:numId w:val="6"/>
              </w:numPr>
              <w:spacing w:line="259" w:lineRule="auto"/>
              <w:ind w:hanging="552"/>
              <w:jc w:val="both"/>
              <w:rPr>
                <w:sz w:val="22"/>
              </w:rPr>
            </w:pPr>
            <w:r w:rsidRPr="00DD6096">
              <w:rPr>
                <w:sz w:val="22"/>
              </w:rPr>
              <w:t>Net profit</w:t>
            </w:r>
          </w:p>
        </w:tc>
      </w:tr>
    </w:tbl>
    <w:p w:rsidR="00DD6096" w:rsidRPr="00DD6096" w:rsidRDefault="00DD6096" w:rsidP="00DD6096">
      <w:pPr>
        <w:spacing w:after="247" w:line="259" w:lineRule="auto"/>
        <w:ind w:firstLine="0"/>
        <w:jc w:val="both"/>
        <w:rPr>
          <w:sz w:val="22"/>
        </w:rPr>
      </w:pPr>
      <w:r w:rsidRPr="00DD6096">
        <w:rPr>
          <w:b/>
          <w:sz w:val="22"/>
        </w:rPr>
        <w:t xml:space="preserve"> </w:t>
      </w:r>
    </w:p>
    <w:p w:rsidR="00DD6096" w:rsidRDefault="00DD6096" w:rsidP="00DD6096">
      <w:pPr>
        <w:spacing w:after="244" w:line="259" w:lineRule="auto"/>
        <w:ind w:firstLine="0"/>
        <w:jc w:val="both"/>
        <w:rPr>
          <w:b/>
          <w:sz w:val="22"/>
        </w:rPr>
      </w:pPr>
      <w:r w:rsidRPr="00DD6096">
        <w:rPr>
          <w:b/>
          <w:sz w:val="22"/>
        </w:rPr>
        <w:t xml:space="preserve"> </w:t>
      </w:r>
    </w:p>
    <w:p w:rsidR="008C0F77" w:rsidRPr="00DD6096" w:rsidRDefault="00D41116" w:rsidP="00DD6096">
      <w:pPr>
        <w:spacing w:after="244" w:line="259" w:lineRule="auto"/>
        <w:ind w:firstLine="0"/>
        <w:jc w:val="both"/>
        <w:rPr>
          <w:sz w:val="22"/>
        </w:rPr>
      </w:pPr>
      <w:r>
        <w:rPr>
          <w:noProof/>
          <w:sz w:val="22"/>
        </w:rPr>
        <mc:AlternateContent>
          <mc:Choice Requires="wps">
            <w:drawing>
              <wp:anchor distT="0" distB="0" distL="114300" distR="114300" simplePos="0" relativeHeight="251664896" behindDoc="0" locked="0" layoutInCell="1" allowOverlap="1" wp14:anchorId="464E90D9" wp14:editId="4F17BE2E">
                <wp:simplePos x="0" y="0"/>
                <wp:positionH relativeFrom="column">
                  <wp:posOffset>-78105</wp:posOffset>
                </wp:positionH>
                <wp:positionV relativeFrom="paragraph">
                  <wp:posOffset>240030</wp:posOffset>
                </wp:positionV>
                <wp:extent cx="616585" cy="307975"/>
                <wp:effectExtent l="0" t="0" r="0" b="0"/>
                <wp:wrapNone/>
                <wp:docPr id="3" name="Rectangle 3"/>
                <wp:cNvGraphicFramePr/>
                <a:graphic xmlns:a="http://schemas.openxmlformats.org/drawingml/2006/main">
                  <a:graphicData uri="http://schemas.microsoft.com/office/word/2010/wordprocessingShape">
                    <wps:wsp>
                      <wps:cNvSpPr/>
                      <wps:spPr>
                        <a:xfrm>
                          <a:off x="0" y="0"/>
                          <a:ext cx="616585" cy="3079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1116" w:rsidRPr="00D41116" w:rsidRDefault="00D41116" w:rsidP="00D41116">
                            <w:pPr>
                              <w:ind w:firstLine="0"/>
                              <w:rPr>
                                <w:color w:val="000000" w:themeColor="text1"/>
                                <w:sz w:val="22"/>
                              </w:rPr>
                            </w:pPr>
                            <w:r>
                              <w:rPr>
                                <w:color w:val="000000" w:themeColor="text1"/>
                                <w:sz w:val="22"/>
                              </w:rPr>
                              <w:t>276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6.15pt;margin-top:18.9pt;width:48.55pt;height:24.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" fillcolor="#0070c0" stroked="f" strokeweight="2pt">
                <v:textbox>
                  <w:txbxContent>
                    <w:p w:rsidR="00D41116" w:rsidRPr="00D41116" w:rsidRDefault="00D41116" w:rsidP="00D41116">
                      <w:pPr>
                        <w:ind w:firstLine="0"/>
                        <w:rPr>
                          <w:color w:val="000000" w:themeColor="text1"/>
                          <w:sz w:val="22"/>
                        </w:rPr>
                      </w:pPr>
                      <w:r>
                        <w:rPr>
                          <w:color w:val="000000" w:themeColor="text1"/>
                          <w:sz w:val="22"/>
                        </w:rPr>
                        <w:t>276</w:t>
                      </w:r>
                    </w:p>
                  </w:txbxContent>
                </v:textbox>
              </v:rect>
            </w:pict>
          </mc:Fallback>
        </mc:AlternateContent>
      </w:r>
    </w:p>
    <w:p w:rsidR="00DD6096" w:rsidRPr="00DD6096" w:rsidRDefault="00DD6096" w:rsidP="00DD6096">
      <w:pPr>
        <w:spacing w:line="259" w:lineRule="auto"/>
        <w:ind w:right="5646" w:firstLine="0"/>
        <w:jc w:val="both"/>
        <w:rPr>
          <w:sz w:val="22"/>
        </w:rPr>
      </w:pPr>
      <w:r>
        <w:rPr>
          <w:b/>
          <w:sz w:val="22"/>
        </w:rPr>
        <w:lastRenderedPageBreak/>
        <w:t>4.2</w:t>
      </w:r>
      <w:proofErr w:type="gramStart"/>
      <w:r>
        <w:rPr>
          <w:b/>
          <w:sz w:val="22"/>
        </w:rPr>
        <w:t>.Viewed</w:t>
      </w:r>
      <w:proofErr w:type="gramEnd"/>
      <w:r>
        <w:rPr>
          <w:b/>
          <w:sz w:val="22"/>
        </w:rPr>
        <w:t xml:space="preserve"> from the Credit System</w:t>
      </w:r>
    </w:p>
    <w:tbl>
      <w:tblPr>
        <w:tblStyle w:val="TableGrid0"/>
        <w:tblW w:w="7691" w:type="dxa"/>
        <w:tblInd w:w="994" w:type="dxa"/>
        <w:tblCellMar>
          <w:top w:w="9" w:type="dxa"/>
          <w:left w:w="329" w:type="dxa"/>
          <w:right w:w="48" w:type="dxa"/>
        </w:tblCellMar>
        <w:tblLook w:val="04A0" w:firstRow="1" w:lastRow="0" w:firstColumn="1" w:lastColumn="0" w:noHBand="0" w:noVBand="1"/>
      </w:tblPr>
      <w:tblGrid>
        <w:gridCol w:w="2060"/>
        <w:gridCol w:w="5631"/>
      </w:tblGrid>
      <w:tr w:rsidR="00DD6096" w:rsidRPr="00DD6096" w:rsidTr="00B51FF7">
        <w:trPr>
          <w:trHeight w:val="4979"/>
        </w:trPr>
        <w:tc>
          <w:tcPr>
            <w:tcW w:w="2060"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line="259" w:lineRule="auto"/>
              <w:ind w:firstLine="0"/>
              <w:jc w:val="both"/>
              <w:rPr>
                <w:sz w:val="22"/>
              </w:rPr>
            </w:pPr>
            <w:r w:rsidRPr="00DD6096">
              <w:rPr>
                <w:b/>
                <w:sz w:val="22"/>
              </w:rPr>
              <w:t>Agreement</w:t>
            </w:r>
          </w:p>
        </w:tc>
        <w:tc>
          <w:tcPr>
            <w:tcW w:w="5631"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ind w:right="61" w:firstLine="0"/>
              <w:jc w:val="both"/>
              <w:rPr>
                <w:sz w:val="22"/>
              </w:rPr>
            </w:pPr>
            <w:r w:rsidRPr="00DD6096">
              <w:rPr>
                <w:sz w:val="22"/>
              </w:rPr>
              <w:t>In terms of the agreement or contract system, the conventional credit agreement is a loan. So the borrower must return the loan and also pay the loan interest that has been set by the bank before.</w:t>
            </w:r>
          </w:p>
          <w:p w:rsidR="00DD6096" w:rsidRPr="00DD6096" w:rsidRDefault="00DD6096" w:rsidP="00DD6096">
            <w:pPr>
              <w:spacing w:line="358" w:lineRule="auto"/>
              <w:ind w:right="60" w:firstLine="0"/>
              <w:jc w:val="both"/>
              <w:rPr>
                <w:sz w:val="22"/>
              </w:rPr>
            </w:pPr>
            <w:r w:rsidRPr="00DD6096">
              <w:rPr>
                <w:sz w:val="22"/>
              </w:rPr>
              <w:t>Whereas Islamic credit interest in this case is usury, so Islamic system banks do not apply it. Islamic banks adhere to the main principle of no usury</w:t>
            </w:r>
          </w:p>
          <w:p w:rsidR="00DD6096" w:rsidRPr="00DD6096" w:rsidRDefault="00DD6096" w:rsidP="00DD6096">
            <w:pPr>
              <w:spacing w:after="1" w:line="358" w:lineRule="auto"/>
              <w:ind w:firstLine="0"/>
              <w:jc w:val="both"/>
              <w:rPr>
                <w:sz w:val="22"/>
              </w:rPr>
            </w:pPr>
            <w:r w:rsidRPr="00DD6096">
              <w:rPr>
                <w:sz w:val="22"/>
              </w:rPr>
              <w:t>Therefore sharia credit uses one of the following contracts:</w:t>
            </w:r>
          </w:p>
          <w:p w:rsidR="00DD6096" w:rsidRPr="00DD6096" w:rsidRDefault="00DD6096" w:rsidP="00DD6096">
            <w:pPr>
              <w:spacing w:line="259" w:lineRule="auto"/>
              <w:ind w:firstLine="0"/>
              <w:jc w:val="both"/>
              <w:rPr>
                <w:sz w:val="22"/>
              </w:rPr>
            </w:pPr>
            <w:r w:rsidRPr="00DD6096">
              <w:rPr>
                <w:sz w:val="22"/>
              </w:rPr>
              <w:t>1. Purchase and sale contract (murabahah)</w:t>
            </w:r>
          </w:p>
        </w:tc>
      </w:tr>
      <w:tr w:rsidR="00DD6096" w:rsidRPr="00DD6096" w:rsidTr="00B51FF7">
        <w:trPr>
          <w:trHeight w:val="1104"/>
        </w:trPr>
        <w:tc>
          <w:tcPr>
            <w:tcW w:w="2060"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after="160" w:line="259" w:lineRule="auto"/>
              <w:ind w:firstLine="0"/>
              <w:jc w:val="both"/>
              <w:rPr>
                <w:sz w:val="22"/>
              </w:rPr>
            </w:pPr>
          </w:p>
        </w:tc>
        <w:tc>
          <w:tcPr>
            <w:tcW w:w="5631" w:type="dxa"/>
            <w:tcBorders>
              <w:top w:val="single" w:sz="4" w:space="0" w:color="000000"/>
              <w:left w:val="single" w:sz="4" w:space="0" w:color="000000"/>
              <w:bottom w:val="single" w:sz="4" w:space="0" w:color="000000"/>
              <w:right w:val="single" w:sz="4" w:space="0" w:color="000000"/>
            </w:tcBorders>
            <w:vAlign w:val="center"/>
          </w:tcPr>
          <w:p w:rsidR="00DD6096" w:rsidRPr="00DD6096" w:rsidRDefault="00DD6096" w:rsidP="009255EA">
            <w:pPr>
              <w:numPr>
                <w:ilvl w:val="0"/>
                <w:numId w:val="7"/>
              </w:numPr>
              <w:spacing w:after="250" w:line="259" w:lineRule="auto"/>
              <w:ind w:right="46" w:hanging="360"/>
              <w:jc w:val="both"/>
              <w:rPr>
                <w:sz w:val="22"/>
              </w:rPr>
            </w:pPr>
            <w:r w:rsidRPr="00DD6096">
              <w:rPr>
                <w:sz w:val="22"/>
              </w:rPr>
              <w:t>Leasing contract (ijarah wa iqtina)</w:t>
            </w:r>
          </w:p>
          <w:p w:rsidR="00DD6096" w:rsidRPr="00DD6096" w:rsidRDefault="00DD6096" w:rsidP="009255EA">
            <w:pPr>
              <w:numPr>
                <w:ilvl w:val="0"/>
                <w:numId w:val="7"/>
              </w:numPr>
              <w:spacing w:line="259" w:lineRule="auto"/>
              <w:ind w:right="46" w:hanging="360"/>
              <w:jc w:val="both"/>
              <w:rPr>
                <w:sz w:val="22"/>
              </w:rPr>
            </w:pPr>
            <w:r w:rsidRPr="00DD6096">
              <w:rPr>
                <w:sz w:val="22"/>
              </w:rPr>
              <w:t>Capital sharing contract (Mutantaqishah deliberation)</w:t>
            </w:r>
          </w:p>
        </w:tc>
      </w:tr>
      <w:tr w:rsidR="00DD6096" w:rsidRPr="00DD6096" w:rsidTr="00B51FF7">
        <w:trPr>
          <w:trHeight w:val="3322"/>
        </w:trPr>
        <w:tc>
          <w:tcPr>
            <w:tcW w:w="2060"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after="112" w:line="259" w:lineRule="auto"/>
              <w:ind w:firstLine="0"/>
              <w:jc w:val="both"/>
              <w:rPr>
                <w:sz w:val="22"/>
              </w:rPr>
            </w:pPr>
            <w:r w:rsidRPr="00DD6096">
              <w:rPr>
                <w:b/>
                <w:sz w:val="22"/>
              </w:rPr>
              <w:t>Halal</w:t>
            </w:r>
          </w:p>
          <w:p w:rsidR="00DD6096" w:rsidRPr="00DD6096" w:rsidRDefault="00DD6096" w:rsidP="00DD6096">
            <w:pPr>
              <w:spacing w:line="259" w:lineRule="auto"/>
              <w:ind w:firstLine="0"/>
              <w:jc w:val="both"/>
              <w:rPr>
                <w:sz w:val="22"/>
              </w:rPr>
            </w:pPr>
            <w:r w:rsidRPr="00DD6096">
              <w:rPr>
                <w:b/>
                <w:sz w:val="22"/>
              </w:rPr>
              <w:t>Nope</w:t>
            </w:r>
          </w:p>
        </w:tc>
        <w:tc>
          <w:tcPr>
            <w:tcW w:w="5631" w:type="dxa"/>
            <w:tcBorders>
              <w:top w:val="single" w:sz="4" w:space="0" w:color="000000"/>
              <w:left w:val="single" w:sz="4" w:space="0" w:color="000000"/>
              <w:bottom w:val="single" w:sz="4" w:space="0" w:color="000000"/>
              <w:right w:val="single" w:sz="4" w:space="0" w:color="000000"/>
            </w:tcBorders>
          </w:tcPr>
          <w:p w:rsidR="00DD6096" w:rsidRPr="00DD6096" w:rsidRDefault="00D41116" w:rsidP="00DD6096">
            <w:pPr>
              <w:spacing w:line="259" w:lineRule="auto"/>
              <w:ind w:right="159" w:firstLine="0"/>
              <w:jc w:val="both"/>
              <w:rPr>
                <w:sz w:val="22"/>
              </w:rPr>
            </w:pPr>
            <w:r>
              <w:rPr>
                <w:noProof/>
                <w:sz w:val="22"/>
              </w:rPr>
              <mc:AlternateContent>
                <mc:Choice Requires="wps">
                  <w:drawing>
                    <wp:anchor distT="0" distB="0" distL="114300" distR="114300" simplePos="0" relativeHeight="251666944" behindDoc="0" locked="0" layoutInCell="1" allowOverlap="1" wp14:anchorId="015D54C2" wp14:editId="7489584C">
                      <wp:simplePos x="0" y="0"/>
                      <wp:positionH relativeFrom="column">
                        <wp:posOffset>3022600</wp:posOffset>
                      </wp:positionH>
                      <wp:positionV relativeFrom="paragraph">
                        <wp:posOffset>4149725</wp:posOffset>
                      </wp:positionV>
                      <wp:extent cx="616585" cy="307975"/>
                      <wp:effectExtent l="0" t="0" r="0" b="0"/>
                      <wp:wrapNone/>
                      <wp:docPr id="6" name="Rectangle 6"/>
                      <wp:cNvGraphicFramePr/>
                      <a:graphic xmlns:a="http://schemas.openxmlformats.org/drawingml/2006/main">
                        <a:graphicData uri="http://schemas.microsoft.com/office/word/2010/wordprocessingShape">
                          <wps:wsp>
                            <wps:cNvSpPr/>
                            <wps:spPr>
                              <a:xfrm>
                                <a:off x="0" y="0"/>
                                <a:ext cx="616585" cy="3079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1116" w:rsidRPr="00D41116" w:rsidRDefault="00D41116" w:rsidP="00D41116">
                                  <w:pPr>
                                    <w:ind w:firstLine="0"/>
                                    <w:rPr>
                                      <w:color w:val="000000" w:themeColor="text1"/>
                                      <w:sz w:val="22"/>
                                    </w:rPr>
                                  </w:pPr>
                                  <w:r>
                                    <w:rPr>
                                      <w:color w:val="000000" w:themeColor="text1"/>
                                      <w:sz w:val="22"/>
                                    </w:rPr>
                                    <w:t>277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left:0;text-align:left;margin-left:238pt;margin-top:326.75pt;width:48.55pt;height:24.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" fillcolor="#0070c0" stroked="f" strokeweight="2pt">
                      <v:textbox>
                        <w:txbxContent>
                          <w:p w:rsidR="00D41116" w:rsidRPr="00D41116" w:rsidRDefault="00D41116" w:rsidP="00D41116">
                            <w:pPr>
                              <w:ind w:firstLine="0"/>
                              <w:rPr>
                                <w:color w:val="000000" w:themeColor="text1"/>
                                <w:sz w:val="22"/>
                              </w:rPr>
                            </w:pPr>
                            <w:r>
                              <w:rPr>
                                <w:color w:val="000000" w:themeColor="text1"/>
                                <w:sz w:val="22"/>
                              </w:rPr>
                              <w:t>277</w:t>
                            </w:r>
                          </w:p>
                        </w:txbxContent>
                      </v:textbox>
                    </v:rect>
                  </w:pict>
                </mc:Fallback>
              </mc:AlternateContent>
            </w:r>
            <w:r w:rsidR="00DD6096" w:rsidRPr="00DD6096">
              <w:rPr>
                <w:sz w:val="22"/>
              </w:rPr>
              <w:t>In conventional banks, there is an interest system, which of course is forbidden in Islamic sharia and in lending, you are not asked about the use of money, even though money can be used for negative things and contrary to religious values. Whereas in Islamic credit the principle is without usury. And when borrowing money, the purpose of using the money must be explained in detail</w:t>
            </w:r>
          </w:p>
        </w:tc>
      </w:tr>
      <w:tr w:rsidR="00DD6096" w:rsidRPr="00DD6096" w:rsidTr="00B51FF7">
        <w:trPr>
          <w:trHeight w:val="4150"/>
        </w:trPr>
        <w:tc>
          <w:tcPr>
            <w:tcW w:w="2060"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line="259" w:lineRule="auto"/>
              <w:ind w:firstLine="0"/>
              <w:jc w:val="both"/>
              <w:rPr>
                <w:sz w:val="22"/>
              </w:rPr>
            </w:pPr>
            <w:r w:rsidRPr="00DD6096">
              <w:rPr>
                <w:b/>
                <w:sz w:val="22"/>
              </w:rPr>
              <w:lastRenderedPageBreak/>
              <w:t>Risk</w:t>
            </w:r>
          </w:p>
        </w:tc>
        <w:tc>
          <w:tcPr>
            <w:tcW w:w="5631"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ind w:right="166" w:firstLine="0"/>
              <w:jc w:val="both"/>
              <w:rPr>
                <w:sz w:val="22"/>
              </w:rPr>
            </w:pPr>
            <w:r w:rsidRPr="00DD6096">
              <w:rPr>
                <w:sz w:val="22"/>
              </w:rPr>
              <w:t>In conventional credit, the customer still has to pay the full loan and interest as previously agreed. Both when the business is profitable or at a loss</w:t>
            </w:r>
          </w:p>
          <w:p w:rsidR="00DD6096" w:rsidRPr="00DD6096" w:rsidRDefault="00DD6096" w:rsidP="00DD6096">
            <w:pPr>
              <w:spacing w:line="259" w:lineRule="auto"/>
              <w:ind w:right="154" w:firstLine="0"/>
              <w:jc w:val="both"/>
              <w:rPr>
                <w:sz w:val="22"/>
              </w:rPr>
            </w:pPr>
            <w:r w:rsidRPr="00DD6096">
              <w:rPr>
                <w:sz w:val="22"/>
              </w:rPr>
              <w:t>Meanwhile, sharia credit if the contract used is capital sharing, then when the customer experiences a loss in his business, the bank will share in the loss according to the amount of initial capital that has been agreed upon.</w:t>
            </w:r>
          </w:p>
        </w:tc>
      </w:tr>
      <w:tr w:rsidR="00DD6096" w:rsidRPr="00DD6096" w:rsidTr="00B51FF7">
        <w:trPr>
          <w:trHeight w:val="2079"/>
        </w:trPr>
        <w:tc>
          <w:tcPr>
            <w:tcW w:w="2060"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line="259" w:lineRule="auto"/>
              <w:ind w:firstLine="0"/>
              <w:jc w:val="both"/>
              <w:rPr>
                <w:sz w:val="22"/>
              </w:rPr>
            </w:pPr>
            <w:r w:rsidRPr="00DD6096">
              <w:rPr>
                <w:b/>
                <w:sz w:val="22"/>
              </w:rPr>
              <w:t>Product</w:t>
            </w:r>
          </w:p>
        </w:tc>
        <w:tc>
          <w:tcPr>
            <w:tcW w:w="5631"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line="356" w:lineRule="auto"/>
              <w:ind w:firstLine="0"/>
              <w:jc w:val="both"/>
              <w:rPr>
                <w:sz w:val="22"/>
              </w:rPr>
            </w:pPr>
            <w:r w:rsidRPr="00DD6096">
              <w:rPr>
                <w:sz w:val="22"/>
              </w:rPr>
              <w:t>One that is the difference is the issue of loans or</w:t>
            </w:r>
          </w:p>
          <w:p w:rsidR="00DD6096" w:rsidRPr="00DD6096" w:rsidRDefault="00DD6096" w:rsidP="00DD6096">
            <w:pPr>
              <w:spacing w:line="259" w:lineRule="auto"/>
              <w:ind w:right="58" w:firstLine="0"/>
              <w:jc w:val="both"/>
              <w:rPr>
                <w:sz w:val="22"/>
              </w:rPr>
            </w:pPr>
            <w:r w:rsidRPr="00DD6096">
              <w:rPr>
                <w:sz w:val="22"/>
              </w:rPr>
              <w:t>loans related to religious activities such as Hajj and Umrah. Islamic banks have their own special products</w:t>
            </w:r>
          </w:p>
        </w:tc>
      </w:tr>
    </w:tbl>
    <w:p w:rsidR="00DD6096" w:rsidRDefault="00DD6096" w:rsidP="00D41116">
      <w:pPr>
        <w:spacing w:after="247" w:line="259" w:lineRule="auto"/>
        <w:ind w:firstLine="0"/>
        <w:jc w:val="both"/>
        <w:rPr>
          <w:b/>
          <w:sz w:val="22"/>
        </w:rPr>
      </w:pPr>
      <w:r w:rsidRPr="00DD6096">
        <w:rPr>
          <w:b/>
          <w:sz w:val="22"/>
        </w:rPr>
        <w:t xml:space="preserve"> </w:t>
      </w: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Default="00D41116" w:rsidP="00D41116">
      <w:pPr>
        <w:spacing w:after="247" w:line="259" w:lineRule="auto"/>
        <w:ind w:firstLine="0"/>
        <w:jc w:val="both"/>
        <w:rPr>
          <w:b/>
          <w:sz w:val="22"/>
        </w:rPr>
      </w:pPr>
    </w:p>
    <w:p w:rsidR="00D41116" w:rsidRPr="00D41116" w:rsidRDefault="00D41116" w:rsidP="00D41116">
      <w:pPr>
        <w:spacing w:after="247" w:line="259" w:lineRule="auto"/>
        <w:ind w:firstLine="0"/>
        <w:jc w:val="both"/>
        <w:rPr>
          <w:sz w:val="22"/>
        </w:rPr>
      </w:pPr>
      <w:r>
        <w:rPr>
          <w:noProof/>
          <w:sz w:val="22"/>
        </w:rPr>
        <mc:AlternateContent>
          <mc:Choice Requires="wps">
            <w:drawing>
              <wp:anchor distT="0" distB="0" distL="114300" distR="114300" simplePos="0" relativeHeight="251668992" behindDoc="0" locked="0" layoutInCell="1" allowOverlap="1" wp14:anchorId="2DD23B7B" wp14:editId="7540A4DD">
                <wp:simplePos x="0" y="0"/>
                <wp:positionH relativeFrom="column">
                  <wp:posOffset>-67310</wp:posOffset>
                </wp:positionH>
                <wp:positionV relativeFrom="paragraph">
                  <wp:posOffset>777240</wp:posOffset>
                </wp:positionV>
                <wp:extent cx="616585" cy="307975"/>
                <wp:effectExtent l="0" t="0" r="0" b="0"/>
                <wp:wrapNone/>
                <wp:docPr id="7" name="Rectangle 7"/>
                <wp:cNvGraphicFramePr/>
                <a:graphic xmlns:a="http://schemas.openxmlformats.org/drawingml/2006/main">
                  <a:graphicData uri="http://schemas.microsoft.com/office/word/2010/wordprocessingShape">
                    <wps:wsp>
                      <wps:cNvSpPr/>
                      <wps:spPr>
                        <a:xfrm>
                          <a:off x="0" y="0"/>
                          <a:ext cx="616585" cy="3079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1116" w:rsidRPr="00D41116" w:rsidRDefault="00D41116" w:rsidP="00D41116">
                            <w:pPr>
                              <w:ind w:firstLine="0"/>
                              <w:rPr>
                                <w:color w:val="000000" w:themeColor="text1"/>
                                <w:sz w:val="22"/>
                              </w:rPr>
                            </w:pPr>
                            <w:r>
                              <w:rPr>
                                <w:color w:val="000000" w:themeColor="text1"/>
                                <w:sz w:val="22"/>
                              </w:rPr>
                              <w:t>278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5.3pt;margin-top:61.2pt;width:48.55pt;height:24.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" fillcolor="#0070c0" stroked="f" strokeweight="2pt">
                <v:textbox>
                  <w:txbxContent>
                    <w:p w:rsidR="00D41116" w:rsidRPr="00D41116" w:rsidRDefault="00D41116" w:rsidP="00D41116">
                      <w:pPr>
                        <w:ind w:firstLine="0"/>
                        <w:rPr>
                          <w:color w:val="000000" w:themeColor="text1"/>
                          <w:sz w:val="22"/>
                        </w:rPr>
                      </w:pPr>
                      <w:r>
                        <w:rPr>
                          <w:color w:val="000000" w:themeColor="text1"/>
                          <w:sz w:val="22"/>
                        </w:rPr>
                        <w:t>278</w:t>
                      </w:r>
                    </w:p>
                  </w:txbxContent>
                </v:textbox>
              </v:rect>
            </w:pict>
          </mc:Fallback>
        </mc:AlternateContent>
      </w:r>
    </w:p>
    <w:p w:rsidR="00DD6096" w:rsidRPr="00DD6096" w:rsidRDefault="00DD6096" w:rsidP="00DD6096">
      <w:pPr>
        <w:pStyle w:val="Heading1"/>
        <w:ind w:left="-5"/>
        <w:jc w:val="both"/>
        <w:rPr>
          <w:szCs w:val="22"/>
        </w:rPr>
      </w:pPr>
      <w:r w:rsidRPr="00DD6096">
        <w:rPr>
          <w:szCs w:val="22"/>
        </w:rPr>
        <w:lastRenderedPageBreak/>
        <w:t>In terms of savings</w:t>
      </w:r>
    </w:p>
    <w:tbl>
      <w:tblPr>
        <w:tblStyle w:val="TableGrid0"/>
        <w:tblW w:w="9422" w:type="dxa"/>
        <w:tblInd w:w="108" w:type="dxa"/>
        <w:tblCellMar>
          <w:top w:w="7" w:type="dxa"/>
          <w:left w:w="473" w:type="dxa"/>
          <w:right w:w="60" w:type="dxa"/>
        </w:tblCellMar>
        <w:tblLook w:val="04A0" w:firstRow="1" w:lastRow="0" w:firstColumn="1" w:lastColumn="0" w:noHBand="0" w:noVBand="1"/>
      </w:tblPr>
      <w:tblGrid>
        <w:gridCol w:w="4712"/>
        <w:gridCol w:w="4710"/>
      </w:tblGrid>
      <w:tr w:rsidR="00DD6096" w:rsidRPr="00DD6096" w:rsidTr="00B51FF7">
        <w:trPr>
          <w:trHeight w:val="422"/>
        </w:trPr>
        <w:tc>
          <w:tcPr>
            <w:tcW w:w="4712"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line="259" w:lineRule="auto"/>
              <w:ind w:right="451" w:firstLine="0"/>
              <w:jc w:val="both"/>
              <w:rPr>
                <w:sz w:val="22"/>
              </w:rPr>
            </w:pPr>
            <w:r w:rsidRPr="00DD6096">
              <w:rPr>
                <w:b/>
                <w:sz w:val="22"/>
              </w:rPr>
              <w:t>conventional</w:t>
            </w:r>
          </w:p>
        </w:tc>
        <w:tc>
          <w:tcPr>
            <w:tcW w:w="4710"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line="259" w:lineRule="auto"/>
              <w:ind w:left="1162" w:firstLine="0"/>
              <w:jc w:val="both"/>
              <w:rPr>
                <w:sz w:val="22"/>
              </w:rPr>
            </w:pPr>
            <w:r w:rsidRPr="00DD6096">
              <w:rPr>
                <w:b/>
                <w:sz w:val="22"/>
              </w:rPr>
              <w:t>Sharia</w:t>
            </w:r>
          </w:p>
        </w:tc>
      </w:tr>
      <w:tr w:rsidR="00DD6096" w:rsidRPr="00DD6096" w:rsidTr="00B51FF7">
        <w:trPr>
          <w:trHeight w:val="8706"/>
        </w:trPr>
        <w:tc>
          <w:tcPr>
            <w:tcW w:w="4712" w:type="dxa"/>
            <w:tcBorders>
              <w:top w:val="single" w:sz="4" w:space="0" w:color="000000"/>
              <w:left w:val="single" w:sz="4" w:space="0" w:color="000000"/>
              <w:bottom w:val="single" w:sz="4" w:space="0" w:color="000000"/>
              <w:right w:val="single" w:sz="4" w:space="0" w:color="000000"/>
            </w:tcBorders>
          </w:tcPr>
          <w:p w:rsidR="00DD6096" w:rsidRPr="00DD6096" w:rsidRDefault="00DD6096" w:rsidP="009255EA">
            <w:pPr>
              <w:numPr>
                <w:ilvl w:val="0"/>
                <w:numId w:val="8"/>
              </w:numPr>
              <w:spacing w:after="1" w:line="359" w:lineRule="auto"/>
              <w:ind w:right="325" w:hanging="360"/>
              <w:jc w:val="both"/>
              <w:rPr>
                <w:sz w:val="22"/>
              </w:rPr>
            </w:pPr>
            <w:r w:rsidRPr="00DD6096">
              <w:rPr>
                <w:color w:val="212121"/>
                <w:sz w:val="22"/>
              </w:rPr>
              <w:t>Using the principles of banking economics</w:t>
            </w:r>
            <w:r w:rsidRPr="00DD6096">
              <w:rPr>
                <w:sz w:val="22"/>
              </w:rPr>
              <w:t xml:space="preserve"> </w:t>
            </w:r>
          </w:p>
          <w:p w:rsidR="00DD6096" w:rsidRPr="00DD6096" w:rsidRDefault="00DD6096" w:rsidP="009255EA">
            <w:pPr>
              <w:numPr>
                <w:ilvl w:val="0"/>
                <w:numId w:val="8"/>
              </w:numPr>
              <w:spacing w:after="6" w:line="358" w:lineRule="auto"/>
              <w:ind w:right="325" w:hanging="360"/>
              <w:jc w:val="both"/>
              <w:rPr>
                <w:sz w:val="22"/>
              </w:rPr>
            </w:pPr>
            <w:r w:rsidRPr="00DD6096">
              <w:rPr>
                <w:color w:val="212121"/>
                <w:sz w:val="22"/>
              </w:rPr>
              <w:t>Providing interest benefits as a benefit for funds deposited by customers.</w:t>
            </w:r>
            <w:r w:rsidRPr="00DD6096">
              <w:rPr>
                <w:sz w:val="22"/>
              </w:rPr>
              <w:t xml:space="preserve"> </w:t>
            </w:r>
          </w:p>
          <w:p w:rsidR="00DD6096" w:rsidRPr="00DD6096" w:rsidRDefault="00DD6096" w:rsidP="009255EA">
            <w:pPr>
              <w:numPr>
                <w:ilvl w:val="0"/>
                <w:numId w:val="8"/>
              </w:numPr>
              <w:spacing w:after="2" w:line="357" w:lineRule="auto"/>
              <w:ind w:right="325" w:hanging="360"/>
              <w:jc w:val="both"/>
              <w:rPr>
                <w:sz w:val="22"/>
              </w:rPr>
            </w:pPr>
            <w:r w:rsidRPr="00DD6096">
              <w:rPr>
                <w:color w:val="212121"/>
                <w:sz w:val="22"/>
              </w:rPr>
              <w:t>The amount of interest has also been determined from the start, so that customers can find out the amount of interest benefits that will be obtained.</w:t>
            </w:r>
            <w:r w:rsidRPr="00DD6096">
              <w:rPr>
                <w:sz w:val="22"/>
              </w:rPr>
              <w:t xml:space="preserve"> </w:t>
            </w:r>
          </w:p>
          <w:p w:rsidR="00DD6096" w:rsidRPr="00DD6096" w:rsidRDefault="00DD6096" w:rsidP="009255EA">
            <w:pPr>
              <w:numPr>
                <w:ilvl w:val="0"/>
                <w:numId w:val="8"/>
              </w:numPr>
              <w:spacing w:line="259" w:lineRule="auto"/>
              <w:ind w:right="325" w:hanging="360"/>
              <w:jc w:val="both"/>
              <w:rPr>
                <w:sz w:val="22"/>
              </w:rPr>
            </w:pPr>
            <w:r w:rsidRPr="00DD6096">
              <w:rPr>
                <w:color w:val="212121"/>
                <w:sz w:val="22"/>
              </w:rPr>
              <w:t>The interest earned is not affected by the economic situation faced by the bank providing the savings.</w:t>
            </w:r>
            <w:r w:rsidRPr="00DD6096">
              <w:rPr>
                <w:sz w:val="22"/>
              </w:rPr>
              <w:t xml:space="preserve"> </w:t>
            </w:r>
          </w:p>
        </w:tc>
        <w:tc>
          <w:tcPr>
            <w:tcW w:w="4710" w:type="dxa"/>
            <w:tcBorders>
              <w:top w:val="single" w:sz="4" w:space="0" w:color="000000"/>
              <w:left w:val="single" w:sz="4" w:space="0" w:color="000000"/>
              <w:bottom w:val="single" w:sz="4" w:space="0" w:color="000000"/>
              <w:right w:val="single" w:sz="4" w:space="0" w:color="000000"/>
            </w:tcBorders>
          </w:tcPr>
          <w:p w:rsidR="00DD6096" w:rsidRPr="00DD6096" w:rsidRDefault="00DD6096" w:rsidP="00DD6096">
            <w:pPr>
              <w:spacing w:after="4"/>
              <w:ind w:left="360" w:right="76" w:hanging="46"/>
              <w:jc w:val="both"/>
              <w:rPr>
                <w:sz w:val="22"/>
              </w:rPr>
            </w:pPr>
            <w:r w:rsidRPr="00DD6096">
              <w:rPr>
                <w:noProof/>
                <w:sz w:val="22"/>
              </w:rPr>
              <w:drawing>
                <wp:anchor distT="0" distB="0" distL="114300" distR="114300" simplePos="0" relativeHeight="251653632" behindDoc="1" locked="0" layoutInCell="1" allowOverlap="0" wp14:anchorId="7940230F" wp14:editId="2C8DEB1D">
                  <wp:simplePos x="0" y="0"/>
                  <wp:positionH relativeFrom="column">
                    <wp:posOffset>300228</wp:posOffset>
                  </wp:positionH>
                  <wp:positionV relativeFrom="paragraph">
                    <wp:posOffset>-1310</wp:posOffset>
                  </wp:positionV>
                  <wp:extent cx="399288" cy="169164"/>
                  <wp:effectExtent l="0" t="0" r="0" b="0"/>
                  <wp:wrapNone/>
                  <wp:docPr id="1796" name="Picture 1796"/>
                  <wp:cNvGraphicFramePr/>
                  <a:graphic xmlns:a="http://schemas.openxmlformats.org/drawingml/2006/main">
                    <a:graphicData uri="http://schemas.openxmlformats.org/drawingml/2006/picture">
                      <pic:pic xmlns:pic="http://schemas.openxmlformats.org/drawingml/2006/picture">
                        <pic:nvPicPr>
                          <pic:cNvPr id="1796" name="Picture 1796"/>
                          <pic:cNvPicPr/>
                        </pic:nvPicPr>
                        <pic:blipFill>
                          <a:blip r:embed="rId9"/>
                          <a:stretch>
                            <a:fillRect/>
                          </a:stretch>
                        </pic:blipFill>
                        <pic:spPr>
                          <a:xfrm>
                            <a:off x="0" y="0"/>
                            <a:ext cx="399288" cy="169164"/>
                          </a:xfrm>
                          <a:prstGeom prst="rect">
                            <a:avLst/>
                          </a:prstGeom>
                        </pic:spPr>
                      </pic:pic>
                    </a:graphicData>
                  </a:graphic>
                </wp:anchor>
              </w:drawing>
            </w:r>
            <w:r w:rsidRPr="00DD6096">
              <w:rPr>
                <w:rFonts w:ascii="Arial" w:eastAsia="Arial" w:hAnsi="Arial" w:cs="Arial"/>
                <w:color w:val="212121"/>
                <w:sz w:val="22"/>
              </w:rPr>
              <w:t>Using the syariah principle as the basis for carrying out banking activities, in this case savings.</w:t>
            </w:r>
          </w:p>
          <w:p w:rsidR="00DD6096" w:rsidRPr="00DD6096" w:rsidRDefault="00DD6096" w:rsidP="00DD6096">
            <w:pPr>
              <w:spacing w:line="358" w:lineRule="auto"/>
              <w:ind w:left="360" w:right="109" w:hanging="46"/>
              <w:jc w:val="both"/>
              <w:rPr>
                <w:sz w:val="22"/>
              </w:rPr>
            </w:pPr>
            <w:r w:rsidRPr="00DD6096">
              <w:rPr>
                <w:noProof/>
                <w:sz w:val="22"/>
              </w:rPr>
              <w:drawing>
                <wp:anchor distT="0" distB="0" distL="114300" distR="114300" simplePos="0" relativeHeight="251655680" behindDoc="1" locked="0" layoutInCell="1" allowOverlap="0" wp14:anchorId="5B818A54" wp14:editId="13A4ADB5">
                  <wp:simplePos x="0" y="0"/>
                  <wp:positionH relativeFrom="column">
                    <wp:posOffset>300228</wp:posOffset>
                  </wp:positionH>
                  <wp:positionV relativeFrom="paragraph">
                    <wp:posOffset>-1310</wp:posOffset>
                  </wp:positionV>
                  <wp:extent cx="399288" cy="169164"/>
                  <wp:effectExtent l="0" t="0" r="0" b="0"/>
                  <wp:wrapNone/>
                  <wp:docPr id="1813" name="Picture 1813"/>
                  <wp:cNvGraphicFramePr/>
                  <a:graphic xmlns:a="http://schemas.openxmlformats.org/drawingml/2006/main">
                    <a:graphicData uri="http://schemas.openxmlformats.org/drawingml/2006/picture">
                      <pic:pic xmlns:pic="http://schemas.openxmlformats.org/drawingml/2006/picture">
                        <pic:nvPicPr>
                          <pic:cNvPr id="1813" name="Picture 1813"/>
                          <pic:cNvPicPr/>
                        </pic:nvPicPr>
                        <pic:blipFill>
                          <a:blip r:embed="rId9"/>
                          <a:stretch>
                            <a:fillRect/>
                          </a:stretch>
                        </pic:blipFill>
                        <pic:spPr>
                          <a:xfrm>
                            <a:off x="0" y="0"/>
                            <a:ext cx="399288" cy="169164"/>
                          </a:xfrm>
                          <a:prstGeom prst="rect">
                            <a:avLst/>
                          </a:prstGeom>
                        </pic:spPr>
                      </pic:pic>
                    </a:graphicData>
                  </a:graphic>
                </wp:anchor>
              </w:drawing>
            </w:r>
            <w:r w:rsidRPr="00DD6096">
              <w:rPr>
                <w:rFonts w:ascii="Arial" w:eastAsia="Arial" w:hAnsi="Arial" w:cs="Arial"/>
                <w:color w:val="212121"/>
                <w:sz w:val="22"/>
              </w:rPr>
              <w:t>There is no interest, because according to Islamic law, interest is said to be usury, which is unlawful.</w:t>
            </w:r>
          </w:p>
          <w:p w:rsidR="00DD6096" w:rsidRPr="00DD6096" w:rsidRDefault="00DD6096" w:rsidP="00DD6096">
            <w:pPr>
              <w:spacing w:line="358" w:lineRule="auto"/>
              <w:ind w:left="360" w:right="288" w:hanging="46"/>
              <w:jc w:val="both"/>
              <w:rPr>
                <w:sz w:val="22"/>
              </w:rPr>
            </w:pPr>
            <w:r w:rsidRPr="00DD6096">
              <w:rPr>
                <w:noProof/>
                <w:sz w:val="22"/>
              </w:rPr>
              <w:drawing>
                <wp:anchor distT="0" distB="0" distL="114300" distR="114300" simplePos="0" relativeHeight="251658752" behindDoc="1" locked="0" layoutInCell="1" allowOverlap="0" wp14:anchorId="2FA8AF87" wp14:editId="75629F6A">
                  <wp:simplePos x="0" y="0"/>
                  <wp:positionH relativeFrom="column">
                    <wp:posOffset>300228</wp:posOffset>
                  </wp:positionH>
                  <wp:positionV relativeFrom="paragraph">
                    <wp:posOffset>-1307</wp:posOffset>
                  </wp:positionV>
                  <wp:extent cx="399288" cy="169164"/>
                  <wp:effectExtent l="0" t="0" r="0" b="0"/>
                  <wp:wrapNone/>
                  <wp:docPr id="1834" name="Picture 1834"/>
                  <wp:cNvGraphicFramePr/>
                  <a:graphic xmlns:a="http://schemas.openxmlformats.org/drawingml/2006/main">
                    <a:graphicData uri="http://schemas.openxmlformats.org/drawingml/2006/picture">
                      <pic:pic xmlns:pic="http://schemas.openxmlformats.org/drawingml/2006/picture">
                        <pic:nvPicPr>
                          <pic:cNvPr id="1834" name="Picture 1834"/>
                          <pic:cNvPicPr/>
                        </pic:nvPicPr>
                        <pic:blipFill>
                          <a:blip r:embed="rId9"/>
                          <a:stretch>
                            <a:fillRect/>
                          </a:stretch>
                        </pic:blipFill>
                        <pic:spPr>
                          <a:xfrm>
                            <a:off x="0" y="0"/>
                            <a:ext cx="399288" cy="169164"/>
                          </a:xfrm>
                          <a:prstGeom prst="rect">
                            <a:avLst/>
                          </a:prstGeom>
                        </pic:spPr>
                      </pic:pic>
                    </a:graphicData>
                  </a:graphic>
                </wp:anchor>
              </w:drawing>
            </w:r>
            <w:r w:rsidRPr="00DD6096">
              <w:rPr>
                <w:rFonts w:ascii="Arial" w:eastAsia="Arial" w:hAnsi="Arial" w:cs="Arial"/>
                <w:color w:val="212121"/>
                <w:sz w:val="22"/>
              </w:rPr>
              <w:t>Using profit-sharing benefits in exchange for interest, so that in practice it does not violate Islamic sharia norms.</w:t>
            </w:r>
          </w:p>
          <w:p w:rsidR="00DD6096" w:rsidRPr="00DD6096" w:rsidRDefault="00DD6096" w:rsidP="00DD6096">
            <w:pPr>
              <w:spacing w:after="4"/>
              <w:ind w:left="360" w:right="83" w:hanging="46"/>
              <w:jc w:val="both"/>
              <w:rPr>
                <w:sz w:val="22"/>
              </w:rPr>
            </w:pPr>
            <w:r w:rsidRPr="00DD6096">
              <w:rPr>
                <w:noProof/>
                <w:sz w:val="22"/>
              </w:rPr>
              <w:drawing>
                <wp:anchor distT="0" distB="0" distL="114300" distR="114300" simplePos="0" relativeHeight="251660800" behindDoc="1" locked="0" layoutInCell="1" allowOverlap="0" wp14:anchorId="638A8963" wp14:editId="54C579C0">
                  <wp:simplePos x="0" y="0"/>
                  <wp:positionH relativeFrom="column">
                    <wp:posOffset>300228</wp:posOffset>
                  </wp:positionH>
                  <wp:positionV relativeFrom="paragraph">
                    <wp:posOffset>-1311</wp:posOffset>
                  </wp:positionV>
                  <wp:extent cx="399288" cy="169164"/>
                  <wp:effectExtent l="0" t="0" r="0" b="0"/>
                  <wp:wrapNone/>
                  <wp:docPr id="1857" name="Picture 1857"/>
                  <wp:cNvGraphicFramePr/>
                  <a:graphic xmlns:a="http://schemas.openxmlformats.org/drawingml/2006/main">
                    <a:graphicData uri="http://schemas.openxmlformats.org/drawingml/2006/picture">
                      <pic:pic xmlns:pic="http://schemas.openxmlformats.org/drawingml/2006/picture">
                        <pic:nvPicPr>
                          <pic:cNvPr id="1857" name="Picture 1857"/>
                          <pic:cNvPicPr/>
                        </pic:nvPicPr>
                        <pic:blipFill>
                          <a:blip r:embed="rId9"/>
                          <a:stretch>
                            <a:fillRect/>
                          </a:stretch>
                        </pic:blipFill>
                        <pic:spPr>
                          <a:xfrm>
                            <a:off x="0" y="0"/>
                            <a:ext cx="399288" cy="169164"/>
                          </a:xfrm>
                          <a:prstGeom prst="rect">
                            <a:avLst/>
                          </a:prstGeom>
                        </pic:spPr>
                      </pic:pic>
                    </a:graphicData>
                  </a:graphic>
                </wp:anchor>
              </w:drawing>
            </w:r>
            <w:r w:rsidRPr="00DD6096">
              <w:rPr>
                <w:rFonts w:ascii="Arial" w:eastAsia="Arial" w:hAnsi="Arial" w:cs="Arial"/>
                <w:color w:val="212121"/>
                <w:sz w:val="22"/>
              </w:rPr>
              <w:t>The provision of benefits from profit sharing itself depends on and is adjusted to the policies of the administering bank. However, the amount can fluctuate because it is influenced by bank conditions.</w:t>
            </w:r>
          </w:p>
          <w:p w:rsidR="00DD6096" w:rsidRPr="00DD6096" w:rsidRDefault="00DD6096" w:rsidP="00DD6096">
            <w:pPr>
              <w:spacing w:line="259" w:lineRule="auto"/>
              <w:ind w:left="360" w:right="58" w:hanging="46"/>
              <w:jc w:val="both"/>
              <w:rPr>
                <w:sz w:val="22"/>
              </w:rPr>
            </w:pPr>
            <w:r w:rsidRPr="00DD6096">
              <w:rPr>
                <w:noProof/>
                <w:sz w:val="22"/>
              </w:rPr>
              <w:drawing>
                <wp:anchor distT="0" distB="0" distL="114300" distR="114300" simplePos="0" relativeHeight="251661824" behindDoc="1" locked="0" layoutInCell="1" allowOverlap="0" wp14:anchorId="36DC8BF9" wp14:editId="45F2A566">
                  <wp:simplePos x="0" y="0"/>
                  <wp:positionH relativeFrom="column">
                    <wp:posOffset>300228</wp:posOffset>
                  </wp:positionH>
                  <wp:positionV relativeFrom="paragraph">
                    <wp:posOffset>-1309</wp:posOffset>
                  </wp:positionV>
                  <wp:extent cx="399288" cy="169164"/>
                  <wp:effectExtent l="0" t="0" r="0" b="0"/>
                  <wp:wrapNone/>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10"/>
                          <a:stretch>
                            <a:fillRect/>
                          </a:stretch>
                        </pic:blipFill>
                        <pic:spPr>
                          <a:xfrm>
                            <a:off x="0" y="0"/>
                            <a:ext cx="399288" cy="169164"/>
                          </a:xfrm>
                          <a:prstGeom prst="rect">
                            <a:avLst/>
                          </a:prstGeom>
                        </pic:spPr>
                      </pic:pic>
                    </a:graphicData>
                  </a:graphic>
                </wp:anchor>
              </w:drawing>
            </w:r>
            <w:r w:rsidRPr="00DD6096">
              <w:rPr>
                <w:rFonts w:ascii="Arial" w:eastAsia="Arial" w:hAnsi="Arial" w:cs="Arial"/>
                <w:sz w:val="22"/>
              </w:rPr>
              <w:t xml:space="preserve"> </w:t>
            </w:r>
            <w:r w:rsidRPr="00DD6096">
              <w:rPr>
                <w:color w:val="212121"/>
                <w:sz w:val="22"/>
              </w:rPr>
              <w:t>Therefore the benefits obtained by customers are uncertain, if the administering bank is in good and productive condition then the results obtained are also proportional to the benefits received</w:t>
            </w:r>
            <w:r w:rsidRPr="00DD6096">
              <w:rPr>
                <w:sz w:val="22"/>
              </w:rPr>
              <w:t xml:space="preserve"> </w:t>
            </w:r>
            <w:r w:rsidRPr="00DD6096">
              <w:rPr>
                <w:color w:val="212121"/>
                <w:sz w:val="22"/>
              </w:rPr>
              <w:t>obtained by the bank.</w:t>
            </w:r>
            <w:r w:rsidRPr="00DD6096">
              <w:rPr>
                <w:sz w:val="22"/>
              </w:rPr>
              <w:t xml:space="preserve"> </w:t>
            </w:r>
          </w:p>
        </w:tc>
      </w:tr>
    </w:tbl>
    <w:p w:rsidR="00DD6096" w:rsidRPr="00DD6096" w:rsidRDefault="00DD6096" w:rsidP="00DD6096">
      <w:pPr>
        <w:spacing w:after="244" w:line="259" w:lineRule="auto"/>
        <w:ind w:firstLine="0"/>
        <w:jc w:val="both"/>
        <w:rPr>
          <w:sz w:val="22"/>
        </w:rPr>
      </w:pPr>
      <w:r w:rsidRPr="00DD6096">
        <w:rPr>
          <w:b/>
          <w:sz w:val="22"/>
        </w:rPr>
        <w:t xml:space="preserve"> </w:t>
      </w: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r>
        <w:rPr>
          <w:rStyle w:val="markedcontent"/>
          <w:rFonts w:asciiTheme="majorBidi" w:hAnsiTheme="majorBidi" w:cstheme="majorBidi"/>
          <w:b/>
          <w:bCs/>
          <w:sz w:val="22"/>
        </w:rPr>
        <w:t>5. CONCLUSIONS AND SUGGESTIONS</w:t>
      </w:r>
    </w:p>
    <w:p w:rsidR="00DD6096" w:rsidRDefault="00DD6096" w:rsidP="00DD6096">
      <w:pPr>
        <w:ind w:firstLine="0"/>
        <w:jc w:val="both"/>
        <w:rPr>
          <w:rStyle w:val="markedcontent"/>
          <w:rFonts w:asciiTheme="majorBidi" w:hAnsiTheme="majorBidi" w:cstheme="majorBidi"/>
          <w:b/>
          <w:bCs/>
          <w:sz w:val="22"/>
        </w:rPr>
      </w:pPr>
      <w:r>
        <w:rPr>
          <w:rStyle w:val="markedcontent"/>
          <w:rFonts w:asciiTheme="majorBidi" w:hAnsiTheme="majorBidi" w:cstheme="majorBidi"/>
          <w:b/>
          <w:bCs/>
          <w:sz w:val="22"/>
        </w:rPr>
        <w:t>5.1. CONCLUSION</w:t>
      </w:r>
    </w:p>
    <w:p w:rsidR="00DD6096" w:rsidRDefault="00DD6096" w:rsidP="00DD6096">
      <w:pPr>
        <w:pStyle w:val="Heading1"/>
        <w:spacing w:after="242"/>
        <w:ind w:left="-5"/>
      </w:pPr>
      <w:r>
        <w:t xml:space="preserve"> </w:t>
      </w:r>
    </w:p>
    <w:p w:rsidR="00DD6096" w:rsidRPr="00DD6096" w:rsidRDefault="00DD6096" w:rsidP="00DD6096">
      <w:pPr>
        <w:spacing w:after="255"/>
        <w:ind w:left="-5"/>
        <w:jc w:val="both"/>
        <w:rPr>
          <w:sz w:val="22"/>
        </w:rPr>
      </w:pPr>
      <w:r w:rsidRPr="00DD6096">
        <w:rPr>
          <w:sz w:val="22"/>
        </w:rPr>
        <w:t>From the results of the study it can be concluded that:</w:t>
      </w:r>
    </w:p>
    <w:p w:rsidR="00DD6096" w:rsidRPr="00DD6096" w:rsidRDefault="00D41116" w:rsidP="009255EA">
      <w:pPr>
        <w:numPr>
          <w:ilvl w:val="0"/>
          <w:numId w:val="9"/>
        </w:numPr>
        <w:ind w:right="219" w:hanging="410"/>
        <w:jc w:val="both"/>
        <w:rPr>
          <w:sz w:val="22"/>
        </w:rPr>
      </w:pPr>
      <w:r>
        <w:rPr>
          <w:noProof/>
          <w:sz w:val="22"/>
        </w:rPr>
        <mc:AlternateContent>
          <mc:Choice Requires="wps">
            <w:drawing>
              <wp:anchor distT="0" distB="0" distL="114300" distR="114300" simplePos="0" relativeHeight="251671040" behindDoc="0" locked="0" layoutInCell="1" allowOverlap="1" wp14:anchorId="1B60F5F0" wp14:editId="71C7CA15">
                <wp:simplePos x="0" y="0"/>
                <wp:positionH relativeFrom="column">
                  <wp:posOffset>4972685</wp:posOffset>
                </wp:positionH>
                <wp:positionV relativeFrom="paragraph">
                  <wp:posOffset>641985</wp:posOffset>
                </wp:positionV>
                <wp:extent cx="616585" cy="307975"/>
                <wp:effectExtent l="0" t="0" r="0" b="0"/>
                <wp:wrapNone/>
                <wp:docPr id="8" name="Rectangle 8"/>
                <wp:cNvGraphicFramePr/>
                <a:graphic xmlns:a="http://schemas.openxmlformats.org/drawingml/2006/main">
                  <a:graphicData uri="http://schemas.microsoft.com/office/word/2010/wordprocessingShape">
                    <wps:wsp>
                      <wps:cNvSpPr/>
                      <wps:spPr>
                        <a:xfrm>
                          <a:off x="0" y="0"/>
                          <a:ext cx="616585" cy="3079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1116" w:rsidRPr="00D41116" w:rsidRDefault="00D41116" w:rsidP="00D41116">
                            <w:pPr>
                              <w:ind w:firstLine="0"/>
                              <w:rPr>
                                <w:color w:val="000000" w:themeColor="text1"/>
                                <w:sz w:val="22"/>
                              </w:rPr>
                            </w:pPr>
                            <w:r>
                              <w:rPr>
                                <w:color w:val="000000" w:themeColor="text1"/>
                                <w:sz w:val="22"/>
                              </w:rPr>
                              <w:t>279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0" style="position:absolute;left:0;text-align:left;margin-left:391.55pt;margin-top:50.55pt;width:48.55pt;height:24.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" fillcolor="#0070c0" stroked="f" strokeweight="2pt">
                <v:textbox>
                  <w:txbxContent>
                    <w:p w:rsidR="00D41116" w:rsidRPr="00D41116" w:rsidRDefault="00D41116" w:rsidP="00D41116">
                      <w:pPr>
                        <w:ind w:firstLine="0"/>
                        <w:rPr>
                          <w:color w:val="000000" w:themeColor="text1"/>
                          <w:sz w:val="22"/>
                        </w:rPr>
                      </w:pPr>
                      <w:r>
                        <w:rPr>
                          <w:color w:val="000000" w:themeColor="text1"/>
                          <w:sz w:val="22"/>
                        </w:rPr>
                        <w:t>279</w:t>
                      </w:r>
                    </w:p>
                  </w:txbxContent>
                </v:textbox>
              </v:rect>
            </w:pict>
          </mc:Fallback>
        </mc:AlternateContent>
      </w:r>
      <w:r w:rsidR="00DD6096" w:rsidRPr="00DD6096">
        <w:rPr>
          <w:sz w:val="22"/>
        </w:rPr>
        <w:t xml:space="preserve">From a profit standpoint, conventional banks are better off with a fixed interest </w:t>
      </w:r>
      <w:proofErr w:type="spellStart"/>
      <w:r w:rsidR="00DD6096" w:rsidRPr="00DD6096">
        <w:rPr>
          <w:sz w:val="22"/>
        </w:rPr>
        <w:t>system</w:t>
      </w:r>
      <w:r w:rsidR="00DD6096" w:rsidRPr="00DD6096">
        <w:rPr>
          <w:color w:val="212121"/>
          <w:sz w:val="22"/>
        </w:rPr>
        <w:t>the</w:t>
      </w:r>
      <w:proofErr w:type="spellEnd"/>
      <w:r w:rsidR="00DD6096" w:rsidRPr="00DD6096">
        <w:rPr>
          <w:color w:val="212121"/>
          <w:sz w:val="22"/>
        </w:rPr>
        <w:t xml:space="preserve"> economic situation faced by the bank providing the savings does not affect the customer's savings.</w:t>
      </w:r>
      <w:r w:rsidR="00DD6096" w:rsidRPr="00DD6096">
        <w:rPr>
          <w:sz w:val="22"/>
        </w:rPr>
        <w:t xml:space="preserve"> </w:t>
      </w:r>
    </w:p>
    <w:p w:rsidR="00DD6096" w:rsidRPr="00DD6096" w:rsidRDefault="00DD6096" w:rsidP="009255EA">
      <w:pPr>
        <w:numPr>
          <w:ilvl w:val="0"/>
          <w:numId w:val="9"/>
        </w:numPr>
        <w:spacing w:after="141"/>
        <w:ind w:right="219" w:hanging="410"/>
        <w:jc w:val="both"/>
        <w:rPr>
          <w:sz w:val="22"/>
        </w:rPr>
      </w:pPr>
      <w:r w:rsidRPr="00DD6096">
        <w:rPr>
          <w:sz w:val="22"/>
        </w:rPr>
        <w:lastRenderedPageBreak/>
        <w:t xml:space="preserve">Viewed from the side of Islamic law, of course Islamic banks have the advantage of a profit-sharing system and the absence of interest as a matter of </w:t>
      </w:r>
      <w:proofErr w:type="spellStart"/>
      <w:r w:rsidRPr="00DD6096">
        <w:rPr>
          <w:sz w:val="22"/>
        </w:rPr>
        <w:t>usury</w:t>
      </w:r>
      <w:r w:rsidRPr="00DD6096">
        <w:rPr>
          <w:color w:val="212121"/>
          <w:sz w:val="22"/>
        </w:rPr>
        <w:t>which</w:t>
      </w:r>
      <w:proofErr w:type="spellEnd"/>
      <w:r w:rsidRPr="00DD6096">
        <w:rPr>
          <w:color w:val="212121"/>
          <w:sz w:val="22"/>
        </w:rPr>
        <w:t xml:space="preserve"> is unlawful.</w:t>
      </w:r>
      <w:r w:rsidRPr="00DD6096">
        <w:rPr>
          <w:sz w:val="22"/>
        </w:rPr>
        <w:t xml:space="preserve"> </w:t>
      </w:r>
    </w:p>
    <w:p w:rsidR="00DD6096" w:rsidRPr="00DD6096" w:rsidRDefault="00DD6096" w:rsidP="009255EA">
      <w:pPr>
        <w:numPr>
          <w:ilvl w:val="0"/>
          <w:numId w:val="9"/>
        </w:numPr>
        <w:spacing w:after="136"/>
        <w:ind w:right="219" w:hanging="410"/>
        <w:jc w:val="both"/>
        <w:rPr>
          <w:sz w:val="22"/>
        </w:rPr>
      </w:pPr>
      <w:r w:rsidRPr="00DD6096">
        <w:rPr>
          <w:color w:val="212121"/>
          <w:sz w:val="22"/>
        </w:rPr>
        <w:t xml:space="preserve">In terms of risk </w:t>
      </w:r>
      <w:proofErr w:type="spellStart"/>
      <w:r w:rsidRPr="00DD6096">
        <w:rPr>
          <w:color w:val="212121"/>
          <w:sz w:val="22"/>
        </w:rPr>
        <w:t>d</w:t>
      </w:r>
      <w:r w:rsidRPr="00DD6096">
        <w:rPr>
          <w:sz w:val="22"/>
        </w:rPr>
        <w:t>In</w:t>
      </w:r>
      <w:proofErr w:type="spellEnd"/>
      <w:r w:rsidRPr="00DD6096">
        <w:rPr>
          <w:sz w:val="22"/>
        </w:rPr>
        <w:t xml:space="preserve"> conventional credit, the customer still has to pay the full loan and interest as previously agreed. Both when the business is profitable or at a loss, while sharia credit, if the contract used is capital sharing, then when the customer experiences a loss in his business, the bank will share in the loss according to the amount of initial capital that has been agreed upon.</w:t>
      </w:r>
    </w:p>
    <w:p w:rsidR="00DD6096" w:rsidRPr="00DD6096" w:rsidRDefault="00DD6096" w:rsidP="00DD6096">
      <w:pPr>
        <w:pStyle w:val="Heading1"/>
        <w:spacing w:after="248"/>
        <w:jc w:val="both"/>
        <w:rPr>
          <w:szCs w:val="22"/>
        </w:rPr>
      </w:pPr>
      <w:r w:rsidRPr="00DD6096">
        <w:rPr>
          <w:szCs w:val="22"/>
        </w:rPr>
        <w:t>5.2. SUGGESTIONS</w:t>
      </w:r>
    </w:p>
    <w:p w:rsidR="00DD6096" w:rsidRPr="00DD6096" w:rsidRDefault="00DD6096" w:rsidP="009255EA">
      <w:pPr>
        <w:numPr>
          <w:ilvl w:val="0"/>
          <w:numId w:val="10"/>
        </w:numPr>
        <w:spacing w:after="2"/>
        <w:ind w:right="220" w:hanging="276"/>
        <w:jc w:val="both"/>
        <w:rPr>
          <w:sz w:val="22"/>
        </w:rPr>
      </w:pPr>
      <w:r w:rsidRPr="00DD6096">
        <w:rPr>
          <w:sz w:val="22"/>
        </w:rPr>
        <w:t>For people who want to invest their wealth according to Islamic law, of course Islamic banks are the best choice in investing their wealth, but for people who prioritize profits and reduce risk, conventional banks are of course the first choice.</w:t>
      </w:r>
    </w:p>
    <w:p w:rsidR="00DD6096" w:rsidRPr="00DD6096" w:rsidRDefault="00DD6096" w:rsidP="009255EA">
      <w:pPr>
        <w:numPr>
          <w:ilvl w:val="0"/>
          <w:numId w:val="10"/>
        </w:numPr>
        <w:spacing w:after="2"/>
        <w:ind w:right="220" w:hanging="276"/>
        <w:jc w:val="both"/>
        <w:rPr>
          <w:sz w:val="22"/>
        </w:rPr>
      </w:pPr>
      <w:r w:rsidRPr="00DD6096">
        <w:rPr>
          <w:sz w:val="22"/>
        </w:rPr>
        <w:t>For banking business actors, it is hoped that they will continue to socialize the products they produce, especially Islamic banking, which are still largely unknown to the Indonesian public in particular.</w:t>
      </w: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jc w:val="both"/>
        <w:rPr>
          <w:rStyle w:val="markedcontent"/>
          <w:rFonts w:asciiTheme="majorBidi" w:hAnsiTheme="majorBidi" w:cstheme="majorBidi"/>
          <w:b/>
          <w:bCs/>
          <w:sz w:val="22"/>
        </w:rPr>
      </w:pPr>
    </w:p>
    <w:p w:rsidR="00DD6096" w:rsidRDefault="00DD6096" w:rsidP="00DD6096">
      <w:pPr>
        <w:ind w:firstLine="0"/>
        <w:rPr>
          <w:rStyle w:val="markedcontent"/>
          <w:rFonts w:asciiTheme="majorBidi" w:hAnsiTheme="majorBidi" w:cstheme="majorBidi"/>
          <w:b/>
          <w:bCs/>
          <w:sz w:val="22"/>
        </w:rPr>
      </w:pPr>
      <w:r>
        <w:rPr>
          <w:rStyle w:val="markedcontent"/>
          <w:rFonts w:asciiTheme="majorBidi" w:hAnsiTheme="majorBidi" w:cstheme="majorBidi"/>
          <w:b/>
          <w:bCs/>
          <w:sz w:val="22"/>
        </w:rPr>
        <w:t>REFERENCES</w:t>
      </w:r>
    </w:p>
    <w:p w:rsidR="00DD6096" w:rsidRPr="00DD6096" w:rsidRDefault="00DD6096" w:rsidP="00DD6096">
      <w:pPr>
        <w:spacing w:after="186" w:line="276" w:lineRule="auto"/>
        <w:ind w:left="851" w:right="204" w:hanging="866"/>
        <w:jc w:val="both"/>
        <w:rPr>
          <w:sz w:val="22"/>
        </w:rPr>
      </w:pPr>
      <w:proofErr w:type="spellStart"/>
      <w:proofErr w:type="gramStart"/>
      <w:r w:rsidRPr="00DD6096">
        <w:rPr>
          <w:sz w:val="22"/>
        </w:rPr>
        <w:t>Abustan</w:t>
      </w:r>
      <w:proofErr w:type="spellEnd"/>
      <w:r w:rsidRPr="00DD6096">
        <w:rPr>
          <w:sz w:val="22"/>
        </w:rPr>
        <w:t>.</w:t>
      </w:r>
      <w:proofErr w:type="gramEnd"/>
      <w:r w:rsidRPr="00DD6096">
        <w:rPr>
          <w:sz w:val="22"/>
        </w:rPr>
        <w:t xml:space="preserve"> 2009. Comparative Analysis of Financial Performance of Islamic Banking with Conventional Banking. </w:t>
      </w:r>
      <w:proofErr w:type="spellStart"/>
      <w:proofErr w:type="gramStart"/>
      <w:r w:rsidRPr="00DD6096">
        <w:rPr>
          <w:sz w:val="22"/>
        </w:rPr>
        <w:t>Gunadarma</w:t>
      </w:r>
      <w:proofErr w:type="spellEnd"/>
      <w:r w:rsidRPr="00DD6096">
        <w:rPr>
          <w:sz w:val="22"/>
        </w:rPr>
        <w:t xml:space="preserve"> University Faculty of Economics.</w:t>
      </w:r>
      <w:proofErr w:type="gramEnd"/>
    </w:p>
    <w:p w:rsidR="00DD6096" w:rsidRPr="00DD6096" w:rsidRDefault="00DD6096" w:rsidP="00DD6096">
      <w:pPr>
        <w:spacing w:after="186" w:line="276" w:lineRule="auto"/>
        <w:ind w:left="851" w:right="204" w:hanging="866"/>
        <w:jc w:val="both"/>
        <w:rPr>
          <w:sz w:val="22"/>
        </w:rPr>
      </w:pPr>
      <w:r w:rsidRPr="00DD6096">
        <w:rPr>
          <w:sz w:val="22"/>
        </w:rPr>
        <w:t xml:space="preserve">Agung M. Noor. Comparison of the Performance of Islamic Commercial Banks with Indonesian Conventional Commercial Banks in 2004-2005. </w:t>
      </w:r>
      <w:proofErr w:type="gramStart"/>
      <w:r w:rsidRPr="00DD6096">
        <w:rPr>
          <w:sz w:val="22"/>
        </w:rPr>
        <w:t>Journal of Islamic economics and business vol. 4 No.1 in 2009.</w:t>
      </w:r>
      <w:proofErr w:type="gramEnd"/>
    </w:p>
    <w:p w:rsidR="00DD6096" w:rsidRPr="00DD6096" w:rsidRDefault="00DD6096" w:rsidP="00DD6096">
      <w:pPr>
        <w:spacing w:line="259" w:lineRule="auto"/>
        <w:ind w:left="851" w:hanging="866"/>
        <w:jc w:val="both"/>
        <w:rPr>
          <w:sz w:val="22"/>
        </w:rPr>
      </w:pPr>
      <w:proofErr w:type="gramStart"/>
      <w:r w:rsidRPr="00DD6096">
        <w:rPr>
          <w:sz w:val="22"/>
        </w:rPr>
        <w:t>Indonesian Banking Booklet.</w:t>
      </w:r>
      <w:proofErr w:type="gramEnd"/>
      <w:r w:rsidRPr="00DD6096">
        <w:rPr>
          <w:sz w:val="22"/>
        </w:rPr>
        <w:t xml:space="preserve"> 2011. Jakarta: Bank Indonesia.</w:t>
      </w:r>
    </w:p>
    <w:p w:rsidR="00DD6096" w:rsidRPr="00DD6096" w:rsidRDefault="00DD6096" w:rsidP="00DD6096">
      <w:pPr>
        <w:spacing w:after="198" w:line="267" w:lineRule="auto"/>
        <w:ind w:left="851" w:hanging="866"/>
        <w:jc w:val="both"/>
        <w:rPr>
          <w:sz w:val="22"/>
        </w:rPr>
      </w:pPr>
      <w:proofErr w:type="gramStart"/>
      <w:r w:rsidRPr="00DD6096">
        <w:rPr>
          <w:sz w:val="22"/>
        </w:rPr>
        <w:t>Cashmere.</w:t>
      </w:r>
      <w:proofErr w:type="gramEnd"/>
      <w:r w:rsidRPr="00DD6096">
        <w:rPr>
          <w:sz w:val="22"/>
        </w:rPr>
        <w:t xml:space="preserve"> 2010. Banking Management. </w:t>
      </w:r>
      <w:proofErr w:type="gramStart"/>
      <w:r w:rsidRPr="00DD6096">
        <w:rPr>
          <w:sz w:val="22"/>
        </w:rPr>
        <w:t>Revised Edition 9.</w:t>
      </w:r>
      <w:proofErr w:type="gramEnd"/>
      <w:r w:rsidRPr="00DD6096">
        <w:rPr>
          <w:sz w:val="22"/>
        </w:rPr>
        <w:t xml:space="preserve"> Jakarta: </w:t>
      </w:r>
      <w:proofErr w:type="spellStart"/>
      <w:r w:rsidRPr="00DD6096">
        <w:rPr>
          <w:sz w:val="22"/>
        </w:rPr>
        <w:t>Rajawali</w:t>
      </w:r>
      <w:proofErr w:type="spellEnd"/>
      <w:r w:rsidRPr="00DD6096">
        <w:rPr>
          <w:sz w:val="22"/>
        </w:rPr>
        <w:t xml:space="preserve"> Press.</w:t>
      </w:r>
    </w:p>
    <w:p w:rsidR="00DD6096" w:rsidRPr="00DD6096" w:rsidRDefault="00DD6096" w:rsidP="00DD6096">
      <w:pPr>
        <w:spacing w:after="186" w:line="276" w:lineRule="auto"/>
        <w:ind w:left="851" w:right="204" w:hanging="866"/>
        <w:jc w:val="both"/>
        <w:rPr>
          <w:sz w:val="22"/>
        </w:rPr>
      </w:pPr>
      <w:proofErr w:type="gramStart"/>
      <w:r w:rsidRPr="00DD6096">
        <w:rPr>
          <w:sz w:val="22"/>
        </w:rPr>
        <w:t>Empress, Kiki.</w:t>
      </w:r>
      <w:proofErr w:type="gramEnd"/>
      <w:r w:rsidRPr="00DD6096">
        <w:rPr>
          <w:sz w:val="22"/>
        </w:rPr>
        <w:t xml:space="preserve"> 2010. Comparative Analysis of Financial Performance of Islamic Banking and Conventional Banking Using Financial Ratios. </w:t>
      </w:r>
      <w:proofErr w:type="gramStart"/>
      <w:r w:rsidRPr="00DD6096">
        <w:rPr>
          <w:sz w:val="22"/>
        </w:rPr>
        <w:t>Faculty of Economics, East Java Veterans Development University.</w:t>
      </w:r>
      <w:proofErr w:type="gramEnd"/>
    </w:p>
    <w:p w:rsidR="00DD6096" w:rsidRPr="00DD6096" w:rsidRDefault="00DD6096" w:rsidP="00DD6096">
      <w:pPr>
        <w:spacing w:after="198" w:line="267" w:lineRule="auto"/>
        <w:ind w:left="851" w:hanging="866"/>
        <w:jc w:val="both"/>
        <w:rPr>
          <w:sz w:val="22"/>
        </w:rPr>
      </w:pPr>
      <w:r w:rsidRPr="00DD6096">
        <w:rPr>
          <w:sz w:val="22"/>
        </w:rPr>
        <w:t xml:space="preserve">M. Faisal, Abdullah. 2003. Banking Management, Malang: UMM Press. </w:t>
      </w:r>
      <w:proofErr w:type="gramStart"/>
      <w:r w:rsidRPr="00DD6096">
        <w:rPr>
          <w:sz w:val="22"/>
        </w:rPr>
        <w:t>Bank Indonesia Regulation No.11/3/PBI/2009 concerning Islamic Commercial Banks.</w:t>
      </w:r>
      <w:proofErr w:type="gramEnd"/>
      <w:r w:rsidRPr="00DD6096">
        <w:rPr>
          <w:sz w:val="22"/>
        </w:rPr>
        <w:t xml:space="preserve"> </w:t>
      </w:r>
      <w:proofErr w:type="gramStart"/>
      <w:r w:rsidRPr="00DD6096">
        <w:rPr>
          <w:sz w:val="22"/>
        </w:rPr>
        <w:t>Jakarta :</w:t>
      </w:r>
      <w:proofErr w:type="gramEnd"/>
      <w:r w:rsidRPr="00DD6096">
        <w:rPr>
          <w:sz w:val="22"/>
        </w:rPr>
        <w:t xml:space="preserve"> Bank Indonesia.</w:t>
      </w:r>
    </w:p>
    <w:p w:rsidR="00DD6096" w:rsidRPr="00DD6096" w:rsidRDefault="00DD6096" w:rsidP="00DD6096">
      <w:pPr>
        <w:spacing w:after="186" w:line="276" w:lineRule="auto"/>
        <w:ind w:left="851" w:right="204" w:hanging="866"/>
        <w:jc w:val="both"/>
        <w:rPr>
          <w:sz w:val="22"/>
        </w:rPr>
      </w:pPr>
      <w:proofErr w:type="spellStart"/>
      <w:r w:rsidRPr="00DD6096">
        <w:rPr>
          <w:sz w:val="22"/>
        </w:rPr>
        <w:t>Prasetyo</w:t>
      </w:r>
      <w:proofErr w:type="spellEnd"/>
      <w:r w:rsidRPr="00DD6096">
        <w:rPr>
          <w:sz w:val="22"/>
        </w:rPr>
        <w:t xml:space="preserve">, </w:t>
      </w:r>
      <w:proofErr w:type="spellStart"/>
      <w:r w:rsidRPr="00DD6096">
        <w:rPr>
          <w:sz w:val="22"/>
        </w:rPr>
        <w:t>Indra</w:t>
      </w:r>
      <w:proofErr w:type="spellEnd"/>
      <w:r w:rsidRPr="00DD6096">
        <w:rPr>
          <w:sz w:val="22"/>
        </w:rPr>
        <w:t xml:space="preserve">. 2008. Financial Performance Analysis of Islamic Banks and Conventional Banks in Indonesia. </w:t>
      </w:r>
      <w:proofErr w:type="gramStart"/>
      <w:r w:rsidRPr="00DD6096">
        <w:rPr>
          <w:sz w:val="22"/>
        </w:rPr>
        <w:t>Management application journal vol.6 No.2.</w:t>
      </w:r>
      <w:proofErr w:type="gramEnd"/>
    </w:p>
    <w:p w:rsidR="00DD6096" w:rsidRPr="00DD6096" w:rsidRDefault="00D41116" w:rsidP="00DD6096">
      <w:pPr>
        <w:ind w:firstLine="0"/>
        <w:jc w:val="both"/>
        <w:rPr>
          <w:rStyle w:val="markedcontent"/>
          <w:rFonts w:asciiTheme="majorBidi" w:hAnsiTheme="majorBidi" w:cstheme="majorBidi"/>
          <w:b/>
          <w:bCs/>
          <w:sz w:val="22"/>
        </w:rPr>
      </w:pPr>
      <w:bookmarkStart w:id="0" w:name="_GoBack"/>
      <w:bookmarkEnd w:id="0"/>
      <w:r>
        <w:rPr>
          <w:noProof/>
          <w:sz w:val="22"/>
        </w:rPr>
        <mc:AlternateContent>
          <mc:Choice Requires="wps">
            <w:drawing>
              <wp:anchor distT="0" distB="0" distL="114300" distR="114300" simplePos="0" relativeHeight="251673088" behindDoc="0" locked="0" layoutInCell="1" allowOverlap="1" wp14:anchorId="7993828D" wp14:editId="2B045701">
                <wp:simplePos x="0" y="0"/>
                <wp:positionH relativeFrom="column">
                  <wp:posOffset>-77736</wp:posOffset>
                </wp:positionH>
                <wp:positionV relativeFrom="paragraph">
                  <wp:posOffset>1490404</wp:posOffset>
                </wp:positionV>
                <wp:extent cx="616689" cy="308344"/>
                <wp:effectExtent l="0" t="0" r="0" b="0"/>
                <wp:wrapNone/>
                <wp:docPr id="9" name="Rectangle 9"/>
                <wp:cNvGraphicFramePr/>
                <a:graphic xmlns:a="http://schemas.openxmlformats.org/drawingml/2006/main">
                  <a:graphicData uri="http://schemas.microsoft.com/office/word/2010/wordprocessingShape">
                    <wps:wsp>
                      <wps:cNvSpPr/>
                      <wps:spPr>
                        <a:xfrm>
                          <a:off x="0" y="0"/>
                          <a:ext cx="616689" cy="30834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1116" w:rsidRPr="00D41116" w:rsidRDefault="00D41116" w:rsidP="00D41116">
                            <w:pPr>
                              <w:ind w:firstLine="0"/>
                              <w:rPr>
                                <w:color w:val="000000" w:themeColor="text1"/>
                                <w:sz w:val="22"/>
                              </w:rPr>
                            </w:pPr>
                            <w:r>
                              <w:rPr>
                                <w:color w:val="000000" w:themeColor="text1"/>
                                <w:sz w:val="22"/>
                              </w:rPr>
                              <w:t>280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1" style="position:absolute;left:0;text-align:left;margin-left:-6.1pt;margin-top:117.35pt;width:48.55pt;height:24.3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" fillcolor="#0070c0" stroked="f" strokeweight="2pt">
                <v:textbox>
                  <w:txbxContent>
                    <w:p w:rsidR="00D41116" w:rsidRPr="00D41116" w:rsidRDefault="00D41116" w:rsidP="00D41116">
                      <w:pPr>
                        <w:ind w:firstLine="0"/>
                        <w:rPr>
                          <w:color w:val="000000" w:themeColor="text1"/>
                          <w:sz w:val="22"/>
                        </w:rPr>
                      </w:pPr>
                      <w:r>
                        <w:rPr>
                          <w:color w:val="000000" w:themeColor="text1"/>
                          <w:sz w:val="22"/>
                        </w:rPr>
                        <w:t>280</w:t>
                      </w:r>
                    </w:p>
                  </w:txbxContent>
                </v:textbox>
              </v:rect>
            </w:pict>
          </mc:Fallback>
        </mc:AlternateContent>
      </w:r>
    </w:p>
    <w:sectPr w:rsidR="00DD6096" w:rsidRPr="00DD6096" w:rsidSect="000C358B">
      <w:headerReference w:type="even" r:id="rId11"/>
      <w:headerReference w:type="default" r:id="rId12"/>
      <w:footerReference w:type="even" r:id="rId13"/>
      <w:footerReference w:type="default" r:id="rId14"/>
      <w:pgSz w:w="11907" w:h="16839" w:code="9"/>
      <w:pgMar w:top="2269"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EA" w:rsidRDefault="009255EA" w:rsidP="007329B4">
      <w:r>
        <w:separator/>
      </w:r>
    </w:p>
  </w:endnote>
  <w:endnote w:type="continuationSeparator" w:id="0">
    <w:p w:rsidR="009255EA" w:rsidRDefault="009255EA"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larendon Lt BT">
    <w:altName w:val="Cambria"/>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965"/>
      <w:gridCol w:w="7939"/>
    </w:tblGrid>
    <w:tr w:rsidR="00821A1F" w:rsidTr="00D2341E">
      <w:trPr>
        <w:trHeight w:val="347"/>
      </w:trPr>
      <w:tc>
        <w:tcPr>
          <w:tcW w:w="542" w:type="pct"/>
          <w:tcBorders>
            <w:top w:val="single" w:sz="4" w:space="0" w:color="943634"/>
          </w:tcBorders>
          <w:shd w:val="clear" w:color="auto" w:fill="0070C0"/>
        </w:tcPr>
        <w:p w:rsidR="00821A1F" w:rsidRDefault="00D41116" w:rsidP="00D41116">
          <w:pPr>
            <w:pStyle w:val="Footer"/>
            <w:tabs>
              <w:tab w:val="clear" w:pos="9360"/>
            </w:tabs>
            <w:ind w:firstLine="0"/>
            <w:rPr>
              <w:b/>
              <w:color w:val="FFFFFF"/>
            </w:rPr>
          </w:pPr>
          <w:r>
            <w:t>274</w:t>
          </w:r>
        </w:p>
      </w:tc>
      <w:tc>
        <w:tcPr>
          <w:tcW w:w="4458" w:type="pct"/>
          <w:tcBorders>
            <w:top w:val="single" w:sz="4" w:space="0" w:color="auto"/>
          </w:tcBorders>
        </w:tcPr>
        <w:p w:rsidR="00821A1F" w:rsidRPr="001D09C1" w:rsidRDefault="00821A1F" w:rsidP="00FD6A4F">
          <w:pPr>
            <w:pStyle w:val="Footer"/>
            <w:ind w:firstLine="0"/>
            <w:jc w:val="both"/>
            <w:rPr>
              <w:rFonts w:ascii="Clarendon Lt BT" w:hAnsi="Clarendon Lt BT"/>
              <w:sz w:val="16"/>
              <w:szCs w:val="16"/>
            </w:rPr>
          </w:pPr>
          <w:proofErr w:type="spellStart"/>
          <w:r w:rsidRPr="001D09C1">
            <w:rPr>
              <w:rFonts w:ascii="Clarendon Lt BT" w:hAnsi="Clarendon Lt BT"/>
              <w:sz w:val="16"/>
              <w:szCs w:val="16"/>
            </w:rPr>
            <w:t>Multidiciplinary</w:t>
          </w:r>
          <w:proofErr w:type="spellEnd"/>
          <w:r w:rsidRPr="001D09C1">
            <w:rPr>
              <w:rFonts w:ascii="Clarendon Lt BT" w:hAnsi="Clarendon Lt BT"/>
              <w:sz w:val="16"/>
              <w:szCs w:val="16"/>
            </w:rPr>
            <w:t xml:space="preserve"> Output Research For Actual and International Issues |MORFAI JOURNAL</w:t>
          </w:r>
        </w:p>
        <w:p w:rsidR="00821A1F" w:rsidRDefault="00821A1F" w:rsidP="00FD6A4F">
          <w:pPr>
            <w:pStyle w:val="Footer"/>
            <w:ind w:firstLine="0"/>
            <w:jc w:val="both"/>
          </w:pPr>
          <w:r w:rsidRPr="000C358B">
            <w:rPr>
              <w:rFonts w:ascii="Clarendon Lt BT" w:hAnsi="Clarendon Lt BT"/>
              <w:sz w:val="18"/>
              <w:szCs w:val="18"/>
            </w:rPr>
            <w:t>E-ISSN: 2808-6635 |</w:t>
          </w:r>
          <w:hyperlink r:id="rId1" w:history="1">
            <w:r w:rsidRPr="008C0438">
              <w:rPr>
                <w:rStyle w:val="Hyperlink"/>
                <w:rFonts w:ascii="Clarendon Lt BT" w:hAnsi="Clarendon Lt BT"/>
                <w:b/>
                <w:bCs/>
                <w:sz w:val="18"/>
                <w:szCs w:val="18"/>
              </w:rPr>
              <w:t>https://radjapublika.com/index.php/MORFAI</w:t>
            </w:r>
          </w:hyperlink>
        </w:p>
      </w:tc>
    </w:tr>
  </w:tbl>
  <w:p w:rsidR="00821A1F" w:rsidRDefault="00821A1F" w:rsidP="00D2341E">
    <w:pPr>
      <w:pStyle w:val="Footer"/>
      <w:ind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7912"/>
      <w:gridCol w:w="992"/>
    </w:tblGrid>
    <w:tr w:rsidR="00821A1F" w:rsidTr="000C358B">
      <w:trPr>
        <w:trHeight w:val="327"/>
      </w:trPr>
      <w:tc>
        <w:tcPr>
          <w:tcW w:w="4443" w:type="pct"/>
          <w:tcBorders>
            <w:top w:val="single" w:sz="4" w:space="0" w:color="000000"/>
          </w:tcBorders>
        </w:tcPr>
        <w:p w:rsidR="00821A1F" w:rsidRPr="001D09C1" w:rsidRDefault="00821A1F" w:rsidP="007311CE">
          <w:pPr>
            <w:pStyle w:val="Footer"/>
            <w:ind w:firstLine="0"/>
            <w:jc w:val="both"/>
            <w:rPr>
              <w:rFonts w:ascii="Clarendon Lt BT" w:hAnsi="Clarendon Lt BT"/>
              <w:sz w:val="16"/>
              <w:szCs w:val="16"/>
            </w:rPr>
          </w:pPr>
          <w:proofErr w:type="spellStart"/>
          <w:r w:rsidRPr="001D09C1">
            <w:rPr>
              <w:rFonts w:ascii="Clarendon Lt BT" w:hAnsi="Clarendon Lt BT"/>
              <w:sz w:val="16"/>
              <w:szCs w:val="16"/>
            </w:rPr>
            <w:t>Multidiciplinary</w:t>
          </w:r>
          <w:proofErr w:type="spellEnd"/>
          <w:r w:rsidRPr="001D09C1">
            <w:rPr>
              <w:rFonts w:ascii="Clarendon Lt BT" w:hAnsi="Clarendon Lt BT"/>
              <w:sz w:val="16"/>
              <w:szCs w:val="16"/>
            </w:rPr>
            <w:t xml:space="preserve"> Output Research For Actual and International Issues |MORFAI JOURNAL</w:t>
          </w:r>
        </w:p>
        <w:p w:rsidR="00821A1F" w:rsidRPr="000C358B" w:rsidRDefault="00821A1F" w:rsidP="000C358B">
          <w:pPr>
            <w:pStyle w:val="Footer"/>
            <w:ind w:firstLine="0"/>
            <w:jc w:val="both"/>
            <w:rPr>
              <w:rFonts w:ascii="Clarendon Lt BT" w:hAnsi="Clarendon Lt BT"/>
              <w:sz w:val="18"/>
              <w:szCs w:val="18"/>
            </w:rPr>
          </w:pPr>
          <w:r w:rsidRPr="000C358B">
            <w:rPr>
              <w:rFonts w:ascii="Clarendon Lt BT" w:hAnsi="Clarendon Lt BT"/>
              <w:sz w:val="18"/>
              <w:szCs w:val="18"/>
            </w:rPr>
            <w:t>E-ISSN: 2808-6635 |</w:t>
          </w:r>
          <w:hyperlink r:id="rId1" w:history="1">
            <w:r w:rsidRPr="008C0438">
              <w:rPr>
                <w:rStyle w:val="Hyperlink"/>
                <w:rFonts w:ascii="Clarendon Lt BT" w:hAnsi="Clarendon Lt BT"/>
                <w:b/>
                <w:bCs/>
                <w:sz w:val="18"/>
                <w:szCs w:val="18"/>
              </w:rPr>
              <w:t>https://radjapublika.com/index.php/MORFAI</w:t>
            </w:r>
          </w:hyperlink>
          <w:r>
            <w:rPr>
              <w:rFonts w:ascii="Clarendon Lt BT" w:hAnsi="Clarendon Lt BT"/>
              <w:b/>
              <w:bCs/>
              <w:sz w:val="18"/>
              <w:szCs w:val="18"/>
            </w:rPr>
            <w:t xml:space="preserve"> </w:t>
          </w:r>
        </w:p>
      </w:tc>
      <w:tc>
        <w:tcPr>
          <w:tcW w:w="557" w:type="pct"/>
          <w:tcBorders>
            <w:top w:val="single" w:sz="4" w:space="0" w:color="C0504D"/>
          </w:tcBorders>
          <w:shd w:val="clear" w:color="auto" w:fill="0070C0"/>
        </w:tcPr>
        <w:p w:rsidR="00821A1F" w:rsidRDefault="00D41116" w:rsidP="00D41116">
          <w:pPr>
            <w:pStyle w:val="Header"/>
            <w:ind w:firstLine="0"/>
            <w:rPr>
              <w:color w:val="FFFFFF"/>
            </w:rPr>
          </w:pPr>
          <w:r>
            <w:t>273</w:t>
          </w:r>
        </w:p>
      </w:tc>
    </w:tr>
  </w:tbl>
  <w:p w:rsidR="00821A1F" w:rsidRPr="00E350AB" w:rsidRDefault="00821A1F" w:rsidP="007311CE">
    <w:pPr>
      <w:pStyle w:val="Footer"/>
      <w:ind w:firstLine="0"/>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EA" w:rsidRDefault="009255EA" w:rsidP="007329B4">
      <w:r>
        <w:separator/>
      </w:r>
    </w:p>
  </w:footnote>
  <w:footnote w:type="continuationSeparator" w:id="0">
    <w:p w:rsidR="009255EA" w:rsidRDefault="009255EA"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F" w:rsidRPr="00CE6B1B" w:rsidRDefault="00821A1F" w:rsidP="00CE6B1B">
    <w:pPr>
      <w:pStyle w:val="Header"/>
      <w:ind w:firstLine="0"/>
      <w:rPr>
        <w:rFonts w:ascii="Times New Roman" w:hAnsi="Times New Roman"/>
        <w:b/>
        <w:bCs/>
      </w:rPr>
    </w:pPr>
    <w:r w:rsidRPr="00CE6B1B">
      <w:rPr>
        <w:rFonts w:ascii="Times New Roman" w:hAnsi="Times New Roman"/>
        <w:b/>
        <w:bCs/>
      </w:rPr>
      <w:t>Volumes</w:t>
    </w:r>
    <w:r w:rsidR="00D41116">
      <w:rPr>
        <w:rFonts w:ascii="Times New Roman" w:hAnsi="Times New Roman"/>
        <w:b/>
        <w:bCs/>
      </w:rPr>
      <w:t xml:space="preserve"> 3 No.2 (2023</w:t>
    </w:r>
    <w:r w:rsidRPr="00CE6B1B">
      <w:rPr>
        <w:rFonts w:ascii="Times New Roman" w:hAnsi="Times New Roman"/>
        <w:b/>
        <w:bCs/>
      </w:rPr>
      <w:t>)</w:t>
    </w:r>
  </w:p>
  <w:p w:rsidR="00821A1F" w:rsidRPr="00CE6B1B" w:rsidRDefault="00821A1F" w:rsidP="00CE6B1B">
    <w:pPr>
      <w:pStyle w:val="Header"/>
      <w:ind w:firstLine="0"/>
      <w:rPr>
        <w:rFonts w:ascii="Times New Roman" w:hAnsi="Times New Roman"/>
      </w:rPr>
    </w:pPr>
  </w:p>
  <w:p w:rsidR="00D41116" w:rsidRPr="00D41116" w:rsidRDefault="00D41116" w:rsidP="00D41116">
    <w:pPr>
      <w:pStyle w:val="Header"/>
      <w:ind w:firstLine="0"/>
      <w:jc w:val="both"/>
      <w:rPr>
        <w:rFonts w:ascii="Times New Roman" w:hAnsi="Times New Roman"/>
        <w:bCs/>
        <w:i/>
        <w:iCs/>
        <w:sz w:val="20"/>
        <w:szCs w:val="20"/>
      </w:rPr>
    </w:pPr>
    <w:r w:rsidRPr="00D41116">
      <w:rPr>
        <w:rFonts w:ascii="Times New Roman" w:hAnsi="Times New Roman"/>
        <w:bCs/>
        <w:i/>
        <w:iCs/>
        <w:sz w:val="20"/>
        <w:szCs w:val="20"/>
      </w:rPr>
      <w:t>COMPARISON OF THE PERFORMANCE OF SHARIA BANKS AND CONVENTIONAL BANKS</w:t>
    </w:r>
  </w:p>
  <w:p w:rsidR="00D41116" w:rsidRPr="00D41116" w:rsidRDefault="00D41116" w:rsidP="00D41116">
    <w:pPr>
      <w:pStyle w:val="Header"/>
      <w:ind w:firstLine="0"/>
      <w:jc w:val="both"/>
      <w:rPr>
        <w:rFonts w:ascii="Times New Roman" w:hAnsi="Times New Roman"/>
        <w:bCs/>
        <w:i/>
        <w:iCs/>
        <w:sz w:val="20"/>
        <w:szCs w:val="20"/>
      </w:rPr>
    </w:pPr>
  </w:p>
  <w:p w:rsidR="00821A1F" w:rsidRPr="00D41116" w:rsidRDefault="00D41116" w:rsidP="00D41116">
    <w:pPr>
      <w:pStyle w:val="Header"/>
      <w:ind w:firstLine="0"/>
      <w:jc w:val="both"/>
      <w:rPr>
        <w:rFonts w:ascii="Times New Roman" w:hAnsi="Times New Roman"/>
        <w:i/>
        <w:iCs/>
        <w:sz w:val="20"/>
        <w:szCs w:val="20"/>
      </w:rPr>
    </w:pPr>
    <w:proofErr w:type="spellStart"/>
    <w:r w:rsidRPr="00D41116">
      <w:rPr>
        <w:rFonts w:ascii="Times New Roman" w:hAnsi="Times New Roman"/>
        <w:bCs/>
        <w:i/>
        <w:iCs/>
        <w:sz w:val="20"/>
        <w:szCs w:val="20"/>
      </w:rPr>
      <w:t>Faradilla</w:t>
    </w:r>
    <w:proofErr w:type="spellEnd"/>
    <w:r w:rsidRPr="00D41116">
      <w:rPr>
        <w:rFonts w:ascii="Times New Roman" w:hAnsi="Times New Roman"/>
        <w:bCs/>
        <w:i/>
        <w:iCs/>
        <w:sz w:val="20"/>
        <w:szCs w:val="20"/>
      </w:rPr>
      <w:t xml:space="preserve"> </w:t>
    </w:r>
    <w:proofErr w:type="spellStart"/>
    <w:r w:rsidRPr="00D41116">
      <w:rPr>
        <w:rFonts w:ascii="Times New Roman" w:hAnsi="Times New Roman"/>
        <w:bCs/>
        <w:i/>
        <w:iCs/>
        <w:sz w:val="20"/>
        <w:szCs w:val="20"/>
      </w:rPr>
      <w:t>Felysha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F" w:rsidRPr="0025484F" w:rsidRDefault="00821A1F" w:rsidP="007D6A74">
    <w:pPr>
      <w:pStyle w:val="Header"/>
      <w:ind w:firstLine="0"/>
      <w:jc w:val="both"/>
      <w:rPr>
        <w:sz w:val="16"/>
        <w:szCs w:val="16"/>
      </w:rPr>
    </w:pPr>
    <w:r>
      <w:rPr>
        <w:noProof/>
      </w:rPr>
      <w:drawing>
        <wp:anchor distT="0" distB="0" distL="114300" distR="114300" simplePos="0" relativeHeight="251658240" behindDoc="1" locked="0" layoutInCell="1" allowOverlap="1" wp14:anchorId="6443D0B4" wp14:editId="02A34B07">
          <wp:simplePos x="0" y="0"/>
          <wp:positionH relativeFrom="page">
            <wp:align>center</wp:align>
          </wp:positionH>
          <wp:positionV relativeFrom="paragraph">
            <wp:posOffset>-309245</wp:posOffset>
          </wp:positionV>
          <wp:extent cx="7216732" cy="1092200"/>
          <wp:effectExtent l="0" t="0" r="381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732" cy="109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DAE"/>
    <w:multiLevelType w:val="hybridMultilevel"/>
    <w:tmpl w:val="FFFFFFFF"/>
    <w:lvl w:ilvl="0" w:tplc="BE92A096">
      <w:start w:val="1"/>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A08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23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EB4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EB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408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8F0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C25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07A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502724"/>
    <w:multiLevelType w:val="hybridMultilevel"/>
    <w:tmpl w:val="FFFFFFFF"/>
    <w:lvl w:ilvl="0" w:tplc="B2BEB1D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02C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AA8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0CE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6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2F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0CB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00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CD0D80"/>
    <w:multiLevelType w:val="hybridMultilevel"/>
    <w:tmpl w:val="FFFFFFFF"/>
    <w:lvl w:ilvl="0" w:tplc="3BA453A8">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EE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6B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26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02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0B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2C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ED9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27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3E4DD8"/>
    <w:multiLevelType w:val="hybridMultilevel"/>
    <w:tmpl w:val="FFFFFFFF"/>
    <w:lvl w:ilvl="0" w:tplc="2646981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08D68">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69152">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4A864">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8067A">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AA448">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64E18">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0C71E">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A796E">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DD2836"/>
    <w:multiLevelType w:val="hybridMultilevel"/>
    <w:tmpl w:val="FFFFFFFF"/>
    <w:lvl w:ilvl="0" w:tplc="C46E54A6">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224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06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C11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8B6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86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66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613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C8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726161B"/>
    <w:multiLevelType w:val="hybridMultilevel"/>
    <w:tmpl w:val="FFFFFFFF"/>
    <w:lvl w:ilvl="0" w:tplc="9710E18E">
      <w:start w:val="2"/>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6D50C">
      <w:start w:val="1"/>
      <w:numFmt w:val="lowerLetter"/>
      <w:lvlText w:val="%2"/>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C8AAE">
      <w:start w:val="1"/>
      <w:numFmt w:val="lowerRoman"/>
      <w:lvlText w:val="%3"/>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8F282">
      <w:start w:val="1"/>
      <w:numFmt w:val="decimal"/>
      <w:lvlText w:val="%4"/>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6135C">
      <w:start w:val="1"/>
      <w:numFmt w:val="lowerLetter"/>
      <w:lvlText w:val="%5"/>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077E0">
      <w:start w:val="1"/>
      <w:numFmt w:val="lowerRoman"/>
      <w:lvlText w:val="%6"/>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C1AA8">
      <w:start w:val="1"/>
      <w:numFmt w:val="decimal"/>
      <w:lvlText w:val="%7"/>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2F086">
      <w:start w:val="1"/>
      <w:numFmt w:val="lowerLetter"/>
      <w:lvlText w:val="%8"/>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27AE2">
      <w:start w:val="1"/>
      <w:numFmt w:val="lowerRoman"/>
      <w:lvlText w:val="%9"/>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7">
    <w:nsid w:val="727F3905"/>
    <w:multiLevelType w:val="hybridMultilevel"/>
    <w:tmpl w:val="FFFFFFFF"/>
    <w:lvl w:ilvl="0" w:tplc="75FCE668">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89540">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0CCA2">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855A4">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0515E">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2CC84">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635E8">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AA89A4">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0AF64">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D673D34"/>
    <w:multiLevelType w:val="hybridMultilevel"/>
    <w:tmpl w:val="FFFFFFFF"/>
    <w:lvl w:ilvl="0" w:tplc="4C0A7CD6">
      <w:start w:val="1"/>
      <w:numFmt w:val="bullet"/>
      <w:lvlText w:val="•"/>
      <w:lvlJc w:val="left"/>
      <w:pPr>
        <w:ind w:left="36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4103B1A">
      <w:start w:val="1"/>
      <w:numFmt w:val="bullet"/>
      <w:lvlText w:val="o"/>
      <w:lvlJc w:val="left"/>
      <w:pPr>
        <w:ind w:left="1555"/>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C4741B38">
      <w:start w:val="1"/>
      <w:numFmt w:val="bullet"/>
      <w:lvlText w:val="▪"/>
      <w:lvlJc w:val="left"/>
      <w:pPr>
        <w:ind w:left="2275"/>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7D4EABD4">
      <w:start w:val="1"/>
      <w:numFmt w:val="bullet"/>
      <w:lvlText w:val="•"/>
      <w:lvlJc w:val="left"/>
      <w:pPr>
        <w:ind w:left="299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7E2E1016">
      <w:start w:val="1"/>
      <w:numFmt w:val="bullet"/>
      <w:lvlText w:val="o"/>
      <w:lvlJc w:val="left"/>
      <w:pPr>
        <w:ind w:left="3715"/>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9EE8D462">
      <w:start w:val="1"/>
      <w:numFmt w:val="bullet"/>
      <w:lvlText w:val="▪"/>
      <w:lvlJc w:val="left"/>
      <w:pPr>
        <w:ind w:left="4435"/>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7148758C">
      <w:start w:val="1"/>
      <w:numFmt w:val="bullet"/>
      <w:lvlText w:val="•"/>
      <w:lvlJc w:val="left"/>
      <w:pPr>
        <w:ind w:left="515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F2B6B09C">
      <w:start w:val="1"/>
      <w:numFmt w:val="bullet"/>
      <w:lvlText w:val="o"/>
      <w:lvlJc w:val="left"/>
      <w:pPr>
        <w:ind w:left="5875"/>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DE3C541A">
      <w:start w:val="1"/>
      <w:numFmt w:val="bullet"/>
      <w:lvlText w:val="▪"/>
      <w:lvlJc w:val="left"/>
      <w:pPr>
        <w:ind w:left="6595"/>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9">
    <w:nsid w:val="7F582B60"/>
    <w:multiLevelType w:val="hybridMultilevel"/>
    <w:tmpl w:val="FFFFFFFF"/>
    <w:lvl w:ilvl="0" w:tplc="79764B06">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29488">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630E2">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8DB16">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CE0DA">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8F070">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E9892">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A1C7C">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8C706">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9"/>
  </w:num>
  <w:num w:numId="5">
    <w:abstractNumId w:val="3"/>
  </w:num>
  <w:num w:numId="6">
    <w:abstractNumId w:val="5"/>
  </w:num>
  <w:num w:numId="7">
    <w:abstractNumId w:val="7"/>
  </w:num>
  <w:num w:numId="8">
    <w:abstractNumId w:val="8"/>
  </w:num>
  <w:num w:numId="9">
    <w:abstractNumId w:val="4"/>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07CBA"/>
    <w:rsid w:val="00012873"/>
    <w:rsid w:val="00012F95"/>
    <w:rsid w:val="00014306"/>
    <w:rsid w:val="00014F62"/>
    <w:rsid w:val="00023D82"/>
    <w:rsid w:val="000241C7"/>
    <w:rsid w:val="00024DB1"/>
    <w:rsid w:val="00035410"/>
    <w:rsid w:val="00040E9E"/>
    <w:rsid w:val="000445D9"/>
    <w:rsid w:val="00045903"/>
    <w:rsid w:val="00050D24"/>
    <w:rsid w:val="000531DE"/>
    <w:rsid w:val="000541C8"/>
    <w:rsid w:val="0005489D"/>
    <w:rsid w:val="000552EF"/>
    <w:rsid w:val="00060752"/>
    <w:rsid w:val="000609E0"/>
    <w:rsid w:val="00064BAC"/>
    <w:rsid w:val="0006529A"/>
    <w:rsid w:val="000709B6"/>
    <w:rsid w:val="000725AF"/>
    <w:rsid w:val="000758CF"/>
    <w:rsid w:val="00075A30"/>
    <w:rsid w:val="00083F96"/>
    <w:rsid w:val="000855F6"/>
    <w:rsid w:val="000A274D"/>
    <w:rsid w:val="000B5E21"/>
    <w:rsid w:val="000C358B"/>
    <w:rsid w:val="000C4F48"/>
    <w:rsid w:val="000E5141"/>
    <w:rsid w:val="000F0322"/>
    <w:rsid w:val="000F437A"/>
    <w:rsid w:val="000F4912"/>
    <w:rsid w:val="0010360F"/>
    <w:rsid w:val="001039F5"/>
    <w:rsid w:val="001121EC"/>
    <w:rsid w:val="001137D4"/>
    <w:rsid w:val="00116721"/>
    <w:rsid w:val="00117D1B"/>
    <w:rsid w:val="001228A7"/>
    <w:rsid w:val="0012531B"/>
    <w:rsid w:val="00131E86"/>
    <w:rsid w:val="00132CCA"/>
    <w:rsid w:val="0013425F"/>
    <w:rsid w:val="001344CF"/>
    <w:rsid w:val="0013483A"/>
    <w:rsid w:val="001363D7"/>
    <w:rsid w:val="00136976"/>
    <w:rsid w:val="001473D9"/>
    <w:rsid w:val="00150633"/>
    <w:rsid w:val="0015552C"/>
    <w:rsid w:val="00166EA1"/>
    <w:rsid w:val="00167233"/>
    <w:rsid w:val="001744EB"/>
    <w:rsid w:val="001753F8"/>
    <w:rsid w:val="00175F9A"/>
    <w:rsid w:val="001813B7"/>
    <w:rsid w:val="00183813"/>
    <w:rsid w:val="00190382"/>
    <w:rsid w:val="001938B1"/>
    <w:rsid w:val="00193B5F"/>
    <w:rsid w:val="0019489A"/>
    <w:rsid w:val="001A4A0A"/>
    <w:rsid w:val="001A517B"/>
    <w:rsid w:val="001A5C6D"/>
    <w:rsid w:val="001B1B39"/>
    <w:rsid w:val="001B5884"/>
    <w:rsid w:val="001B7ECF"/>
    <w:rsid w:val="001C011B"/>
    <w:rsid w:val="001C1550"/>
    <w:rsid w:val="001C1722"/>
    <w:rsid w:val="001D09C1"/>
    <w:rsid w:val="001D14B9"/>
    <w:rsid w:val="001D2264"/>
    <w:rsid w:val="001D2649"/>
    <w:rsid w:val="001D656D"/>
    <w:rsid w:val="001D7831"/>
    <w:rsid w:val="001E4F7A"/>
    <w:rsid w:val="001E7318"/>
    <w:rsid w:val="002007B9"/>
    <w:rsid w:val="00201EB7"/>
    <w:rsid w:val="00204EED"/>
    <w:rsid w:val="002056E7"/>
    <w:rsid w:val="00214394"/>
    <w:rsid w:val="0022098E"/>
    <w:rsid w:val="00222267"/>
    <w:rsid w:val="0022295C"/>
    <w:rsid w:val="00226EC8"/>
    <w:rsid w:val="00231BEB"/>
    <w:rsid w:val="00234430"/>
    <w:rsid w:val="00241AE8"/>
    <w:rsid w:val="00246C1B"/>
    <w:rsid w:val="00247577"/>
    <w:rsid w:val="00252352"/>
    <w:rsid w:val="00253B29"/>
    <w:rsid w:val="0025484F"/>
    <w:rsid w:val="00256985"/>
    <w:rsid w:val="002623FE"/>
    <w:rsid w:val="00264202"/>
    <w:rsid w:val="00264924"/>
    <w:rsid w:val="002678F8"/>
    <w:rsid w:val="00272319"/>
    <w:rsid w:val="0027745C"/>
    <w:rsid w:val="00282552"/>
    <w:rsid w:val="00295182"/>
    <w:rsid w:val="002A6BD0"/>
    <w:rsid w:val="002A710F"/>
    <w:rsid w:val="002A7E9F"/>
    <w:rsid w:val="002C311D"/>
    <w:rsid w:val="002D3B98"/>
    <w:rsid w:val="002E33DE"/>
    <w:rsid w:val="002E4069"/>
    <w:rsid w:val="002E5EEE"/>
    <w:rsid w:val="002E6ABE"/>
    <w:rsid w:val="002F6A7A"/>
    <w:rsid w:val="002F7B72"/>
    <w:rsid w:val="00301E4C"/>
    <w:rsid w:val="00310538"/>
    <w:rsid w:val="003121F0"/>
    <w:rsid w:val="00312265"/>
    <w:rsid w:val="00316DA2"/>
    <w:rsid w:val="00322BC8"/>
    <w:rsid w:val="00327337"/>
    <w:rsid w:val="00336523"/>
    <w:rsid w:val="00337A58"/>
    <w:rsid w:val="00344EEC"/>
    <w:rsid w:val="00350425"/>
    <w:rsid w:val="003517BF"/>
    <w:rsid w:val="00352436"/>
    <w:rsid w:val="00353F8B"/>
    <w:rsid w:val="003578C5"/>
    <w:rsid w:val="003607C1"/>
    <w:rsid w:val="003612C8"/>
    <w:rsid w:val="003732A6"/>
    <w:rsid w:val="00374E7A"/>
    <w:rsid w:val="00380509"/>
    <w:rsid w:val="00382F83"/>
    <w:rsid w:val="00384508"/>
    <w:rsid w:val="00390117"/>
    <w:rsid w:val="00394AA8"/>
    <w:rsid w:val="003958D3"/>
    <w:rsid w:val="00395CBC"/>
    <w:rsid w:val="00397A3E"/>
    <w:rsid w:val="003A1513"/>
    <w:rsid w:val="003A2BE4"/>
    <w:rsid w:val="003A345A"/>
    <w:rsid w:val="003A4AC8"/>
    <w:rsid w:val="003A6EF9"/>
    <w:rsid w:val="003B792E"/>
    <w:rsid w:val="003C11A1"/>
    <w:rsid w:val="003C70DA"/>
    <w:rsid w:val="003C7560"/>
    <w:rsid w:val="003D2EC6"/>
    <w:rsid w:val="003E0BDE"/>
    <w:rsid w:val="003E2BBE"/>
    <w:rsid w:val="003E776C"/>
    <w:rsid w:val="003F0634"/>
    <w:rsid w:val="003F26B6"/>
    <w:rsid w:val="003F5189"/>
    <w:rsid w:val="003F6990"/>
    <w:rsid w:val="0040369D"/>
    <w:rsid w:val="0041248C"/>
    <w:rsid w:val="00412DCF"/>
    <w:rsid w:val="00416D80"/>
    <w:rsid w:val="0042374D"/>
    <w:rsid w:val="004237B2"/>
    <w:rsid w:val="00425F66"/>
    <w:rsid w:val="00431ED1"/>
    <w:rsid w:val="00433599"/>
    <w:rsid w:val="00434395"/>
    <w:rsid w:val="00442B31"/>
    <w:rsid w:val="004442CD"/>
    <w:rsid w:val="00451D2D"/>
    <w:rsid w:val="004549FA"/>
    <w:rsid w:val="00461719"/>
    <w:rsid w:val="00462235"/>
    <w:rsid w:val="0046425C"/>
    <w:rsid w:val="00465E5A"/>
    <w:rsid w:val="00466682"/>
    <w:rsid w:val="004720DD"/>
    <w:rsid w:val="00476B40"/>
    <w:rsid w:val="00480A18"/>
    <w:rsid w:val="00492EF2"/>
    <w:rsid w:val="004A5542"/>
    <w:rsid w:val="004B01EA"/>
    <w:rsid w:val="004B0FAF"/>
    <w:rsid w:val="004B16EF"/>
    <w:rsid w:val="004B3E86"/>
    <w:rsid w:val="004C1F93"/>
    <w:rsid w:val="004C2A54"/>
    <w:rsid w:val="004C3760"/>
    <w:rsid w:val="004C500A"/>
    <w:rsid w:val="004C6026"/>
    <w:rsid w:val="004D5BB1"/>
    <w:rsid w:val="004D6097"/>
    <w:rsid w:val="004E32D2"/>
    <w:rsid w:val="004E4D1A"/>
    <w:rsid w:val="004F113B"/>
    <w:rsid w:val="004F1977"/>
    <w:rsid w:val="004F372A"/>
    <w:rsid w:val="004F55C2"/>
    <w:rsid w:val="005057E2"/>
    <w:rsid w:val="00505B2D"/>
    <w:rsid w:val="00505E62"/>
    <w:rsid w:val="0051077B"/>
    <w:rsid w:val="00516283"/>
    <w:rsid w:val="00517C39"/>
    <w:rsid w:val="005267A0"/>
    <w:rsid w:val="005276EF"/>
    <w:rsid w:val="00533C4E"/>
    <w:rsid w:val="005369E9"/>
    <w:rsid w:val="00537BCB"/>
    <w:rsid w:val="00537D1A"/>
    <w:rsid w:val="00540496"/>
    <w:rsid w:val="00540C84"/>
    <w:rsid w:val="00542591"/>
    <w:rsid w:val="00547F22"/>
    <w:rsid w:val="005548E4"/>
    <w:rsid w:val="00565330"/>
    <w:rsid w:val="00566345"/>
    <w:rsid w:val="00567111"/>
    <w:rsid w:val="00567D23"/>
    <w:rsid w:val="00570617"/>
    <w:rsid w:val="005846B0"/>
    <w:rsid w:val="00586F82"/>
    <w:rsid w:val="00594437"/>
    <w:rsid w:val="00594DF4"/>
    <w:rsid w:val="005A1FC6"/>
    <w:rsid w:val="005B0451"/>
    <w:rsid w:val="005B2D2F"/>
    <w:rsid w:val="005B514A"/>
    <w:rsid w:val="005B6E91"/>
    <w:rsid w:val="005B7B3C"/>
    <w:rsid w:val="005C0928"/>
    <w:rsid w:val="005C3DEE"/>
    <w:rsid w:val="005C5D9D"/>
    <w:rsid w:val="005C61C1"/>
    <w:rsid w:val="005C7059"/>
    <w:rsid w:val="005D2810"/>
    <w:rsid w:val="005D717D"/>
    <w:rsid w:val="005F2BFC"/>
    <w:rsid w:val="005F7189"/>
    <w:rsid w:val="005F7EBF"/>
    <w:rsid w:val="00601290"/>
    <w:rsid w:val="006018E9"/>
    <w:rsid w:val="006067A2"/>
    <w:rsid w:val="006143C2"/>
    <w:rsid w:val="00615C31"/>
    <w:rsid w:val="00616A96"/>
    <w:rsid w:val="0062216A"/>
    <w:rsid w:val="0062310B"/>
    <w:rsid w:val="00627147"/>
    <w:rsid w:val="0063073B"/>
    <w:rsid w:val="00633142"/>
    <w:rsid w:val="006516ED"/>
    <w:rsid w:val="00652A50"/>
    <w:rsid w:val="00654004"/>
    <w:rsid w:val="0065454E"/>
    <w:rsid w:val="00654E58"/>
    <w:rsid w:val="00660DEF"/>
    <w:rsid w:val="00660E50"/>
    <w:rsid w:val="00662309"/>
    <w:rsid w:val="00662B86"/>
    <w:rsid w:val="00670B05"/>
    <w:rsid w:val="00675C58"/>
    <w:rsid w:val="0067655D"/>
    <w:rsid w:val="00684554"/>
    <w:rsid w:val="00684DA8"/>
    <w:rsid w:val="006956BA"/>
    <w:rsid w:val="006964BA"/>
    <w:rsid w:val="006A6084"/>
    <w:rsid w:val="006A73BF"/>
    <w:rsid w:val="006B2EC0"/>
    <w:rsid w:val="006B3189"/>
    <w:rsid w:val="006B3BF5"/>
    <w:rsid w:val="006C13CE"/>
    <w:rsid w:val="006C2F67"/>
    <w:rsid w:val="006C7A1F"/>
    <w:rsid w:val="006D3752"/>
    <w:rsid w:val="006E1CA6"/>
    <w:rsid w:val="006E2213"/>
    <w:rsid w:val="006E2DE7"/>
    <w:rsid w:val="006F03A7"/>
    <w:rsid w:val="006F0CE4"/>
    <w:rsid w:val="006F0E9E"/>
    <w:rsid w:val="006F2E5F"/>
    <w:rsid w:val="006F2ED1"/>
    <w:rsid w:val="00707FE4"/>
    <w:rsid w:val="00710F1C"/>
    <w:rsid w:val="00713127"/>
    <w:rsid w:val="00721454"/>
    <w:rsid w:val="00722953"/>
    <w:rsid w:val="00722E1E"/>
    <w:rsid w:val="0072476F"/>
    <w:rsid w:val="00726D7A"/>
    <w:rsid w:val="007300FB"/>
    <w:rsid w:val="007311CE"/>
    <w:rsid w:val="007329B4"/>
    <w:rsid w:val="00747394"/>
    <w:rsid w:val="0074744B"/>
    <w:rsid w:val="00757508"/>
    <w:rsid w:val="00763556"/>
    <w:rsid w:val="007679F0"/>
    <w:rsid w:val="007700A4"/>
    <w:rsid w:val="007724D1"/>
    <w:rsid w:val="00775365"/>
    <w:rsid w:val="00777308"/>
    <w:rsid w:val="00777E38"/>
    <w:rsid w:val="00777FB3"/>
    <w:rsid w:val="00791C21"/>
    <w:rsid w:val="00795978"/>
    <w:rsid w:val="007965AF"/>
    <w:rsid w:val="007A0BEF"/>
    <w:rsid w:val="007A28E0"/>
    <w:rsid w:val="007A77A4"/>
    <w:rsid w:val="007B4E1D"/>
    <w:rsid w:val="007B646E"/>
    <w:rsid w:val="007C3B5C"/>
    <w:rsid w:val="007C77BB"/>
    <w:rsid w:val="007D16C6"/>
    <w:rsid w:val="007D26ED"/>
    <w:rsid w:val="007D4B85"/>
    <w:rsid w:val="007D689D"/>
    <w:rsid w:val="007D6A74"/>
    <w:rsid w:val="007E1A4A"/>
    <w:rsid w:val="007E2E03"/>
    <w:rsid w:val="007E50E4"/>
    <w:rsid w:val="007E5371"/>
    <w:rsid w:val="007F0E78"/>
    <w:rsid w:val="007F3B33"/>
    <w:rsid w:val="007F4DCD"/>
    <w:rsid w:val="007F6C68"/>
    <w:rsid w:val="007F6E8E"/>
    <w:rsid w:val="00805D7F"/>
    <w:rsid w:val="00811C2F"/>
    <w:rsid w:val="00816655"/>
    <w:rsid w:val="00816E4F"/>
    <w:rsid w:val="00821A1F"/>
    <w:rsid w:val="0082341E"/>
    <w:rsid w:val="008245CB"/>
    <w:rsid w:val="00827DF1"/>
    <w:rsid w:val="00831A7F"/>
    <w:rsid w:val="0084412D"/>
    <w:rsid w:val="00851D22"/>
    <w:rsid w:val="008521E2"/>
    <w:rsid w:val="00853754"/>
    <w:rsid w:val="00854DCC"/>
    <w:rsid w:val="00857233"/>
    <w:rsid w:val="008612CE"/>
    <w:rsid w:val="00866F87"/>
    <w:rsid w:val="00867056"/>
    <w:rsid w:val="0087077E"/>
    <w:rsid w:val="008812E7"/>
    <w:rsid w:val="0088278A"/>
    <w:rsid w:val="0088402A"/>
    <w:rsid w:val="00885B8F"/>
    <w:rsid w:val="008877FA"/>
    <w:rsid w:val="00891C62"/>
    <w:rsid w:val="00897093"/>
    <w:rsid w:val="008970CD"/>
    <w:rsid w:val="00897AFD"/>
    <w:rsid w:val="008A1663"/>
    <w:rsid w:val="008A2F1F"/>
    <w:rsid w:val="008A3CD2"/>
    <w:rsid w:val="008C0017"/>
    <w:rsid w:val="008C0F77"/>
    <w:rsid w:val="008C6E78"/>
    <w:rsid w:val="008D0CBD"/>
    <w:rsid w:val="008E5488"/>
    <w:rsid w:val="008E59C6"/>
    <w:rsid w:val="008F1F2A"/>
    <w:rsid w:val="0090409F"/>
    <w:rsid w:val="009044A2"/>
    <w:rsid w:val="0090615F"/>
    <w:rsid w:val="0090622C"/>
    <w:rsid w:val="00907736"/>
    <w:rsid w:val="0090788E"/>
    <w:rsid w:val="00907962"/>
    <w:rsid w:val="009137C7"/>
    <w:rsid w:val="00921B00"/>
    <w:rsid w:val="0092226A"/>
    <w:rsid w:val="009255EA"/>
    <w:rsid w:val="00931261"/>
    <w:rsid w:val="00932767"/>
    <w:rsid w:val="00951E77"/>
    <w:rsid w:val="009556A2"/>
    <w:rsid w:val="00960424"/>
    <w:rsid w:val="00960B15"/>
    <w:rsid w:val="00962C1E"/>
    <w:rsid w:val="009669B1"/>
    <w:rsid w:val="00970087"/>
    <w:rsid w:val="00971C62"/>
    <w:rsid w:val="00971C7A"/>
    <w:rsid w:val="00973225"/>
    <w:rsid w:val="009808B2"/>
    <w:rsid w:val="009808C2"/>
    <w:rsid w:val="00987164"/>
    <w:rsid w:val="00991695"/>
    <w:rsid w:val="00991F84"/>
    <w:rsid w:val="009972E1"/>
    <w:rsid w:val="009A12A2"/>
    <w:rsid w:val="009A64B5"/>
    <w:rsid w:val="009B1698"/>
    <w:rsid w:val="009B4311"/>
    <w:rsid w:val="009C200F"/>
    <w:rsid w:val="009C32FE"/>
    <w:rsid w:val="009C3591"/>
    <w:rsid w:val="009C507D"/>
    <w:rsid w:val="009D04B6"/>
    <w:rsid w:val="009D06E2"/>
    <w:rsid w:val="009D1D62"/>
    <w:rsid w:val="009D5183"/>
    <w:rsid w:val="009D5E09"/>
    <w:rsid w:val="009D7978"/>
    <w:rsid w:val="009E0097"/>
    <w:rsid w:val="009E3421"/>
    <w:rsid w:val="009E55B3"/>
    <w:rsid w:val="009F2748"/>
    <w:rsid w:val="009F4A09"/>
    <w:rsid w:val="00A00600"/>
    <w:rsid w:val="00A01280"/>
    <w:rsid w:val="00A0457D"/>
    <w:rsid w:val="00A1031C"/>
    <w:rsid w:val="00A120CE"/>
    <w:rsid w:val="00A14E11"/>
    <w:rsid w:val="00A31DDE"/>
    <w:rsid w:val="00A42ED3"/>
    <w:rsid w:val="00A47C15"/>
    <w:rsid w:val="00A504F3"/>
    <w:rsid w:val="00A5073F"/>
    <w:rsid w:val="00A53F15"/>
    <w:rsid w:val="00A545B8"/>
    <w:rsid w:val="00A605FE"/>
    <w:rsid w:val="00A62A27"/>
    <w:rsid w:val="00A666AF"/>
    <w:rsid w:val="00A726CE"/>
    <w:rsid w:val="00A761AD"/>
    <w:rsid w:val="00A7632B"/>
    <w:rsid w:val="00A76DEA"/>
    <w:rsid w:val="00A76E3B"/>
    <w:rsid w:val="00A82E97"/>
    <w:rsid w:val="00A95359"/>
    <w:rsid w:val="00AA3448"/>
    <w:rsid w:val="00AA6C02"/>
    <w:rsid w:val="00AB168B"/>
    <w:rsid w:val="00AB5C1D"/>
    <w:rsid w:val="00AB7BB8"/>
    <w:rsid w:val="00AC00E7"/>
    <w:rsid w:val="00AC1E6C"/>
    <w:rsid w:val="00AC396D"/>
    <w:rsid w:val="00AC4B53"/>
    <w:rsid w:val="00AC6036"/>
    <w:rsid w:val="00AD0322"/>
    <w:rsid w:val="00AD58AD"/>
    <w:rsid w:val="00AD5979"/>
    <w:rsid w:val="00AE1891"/>
    <w:rsid w:val="00B05697"/>
    <w:rsid w:val="00B0699A"/>
    <w:rsid w:val="00B24C36"/>
    <w:rsid w:val="00B25B0D"/>
    <w:rsid w:val="00B356E1"/>
    <w:rsid w:val="00B4487D"/>
    <w:rsid w:val="00B520AA"/>
    <w:rsid w:val="00B54738"/>
    <w:rsid w:val="00B56CDD"/>
    <w:rsid w:val="00B600B2"/>
    <w:rsid w:val="00B6200F"/>
    <w:rsid w:val="00B6252C"/>
    <w:rsid w:val="00B66FBF"/>
    <w:rsid w:val="00B703AD"/>
    <w:rsid w:val="00B721ED"/>
    <w:rsid w:val="00B76E98"/>
    <w:rsid w:val="00B80A71"/>
    <w:rsid w:val="00B83E83"/>
    <w:rsid w:val="00B86A74"/>
    <w:rsid w:val="00B87260"/>
    <w:rsid w:val="00B91976"/>
    <w:rsid w:val="00B9414E"/>
    <w:rsid w:val="00B96D13"/>
    <w:rsid w:val="00BA2BB4"/>
    <w:rsid w:val="00BB058B"/>
    <w:rsid w:val="00BC2772"/>
    <w:rsid w:val="00BC50D1"/>
    <w:rsid w:val="00BC6047"/>
    <w:rsid w:val="00BD0579"/>
    <w:rsid w:val="00BD2E8F"/>
    <w:rsid w:val="00BD4389"/>
    <w:rsid w:val="00BD667F"/>
    <w:rsid w:val="00BE0829"/>
    <w:rsid w:val="00BE1983"/>
    <w:rsid w:val="00BE7479"/>
    <w:rsid w:val="00C0508E"/>
    <w:rsid w:val="00C13157"/>
    <w:rsid w:val="00C16555"/>
    <w:rsid w:val="00C2466F"/>
    <w:rsid w:val="00C25735"/>
    <w:rsid w:val="00C27A6F"/>
    <w:rsid w:val="00C27CB7"/>
    <w:rsid w:val="00C37D91"/>
    <w:rsid w:val="00C40FB8"/>
    <w:rsid w:val="00C41392"/>
    <w:rsid w:val="00C41719"/>
    <w:rsid w:val="00C535AF"/>
    <w:rsid w:val="00C56FDB"/>
    <w:rsid w:val="00C64DE4"/>
    <w:rsid w:val="00C66521"/>
    <w:rsid w:val="00C66DEB"/>
    <w:rsid w:val="00C702D8"/>
    <w:rsid w:val="00C712E1"/>
    <w:rsid w:val="00C71F63"/>
    <w:rsid w:val="00C745E6"/>
    <w:rsid w:val="00C75299"/>
    <w:rsid w:val="00C767A1"/>
    <w:rsid w:val="00CA24E6"/>
    <w:rsid w:val="00CA2FF2"/>
    <w:rsid w:val="00CA42EC"/>
    <w:rsid w:val="00CA42F4"/>
    <w:rsid w:val="00CB08F3"/>
    <w:rsid w:val="00CB26F6"/>
    <w:rsid w:val="00CB422A"/>
    <w:rsid w:val="00CC3CC0"/>
    <w:rsid w:val="00CC6DCC"/>
    <w:rsid w:val="00CD7076"/>
    <w:rsid w:val="00CE2F14"/>
    <w:rsid w:val="00CE5E21"/>
    <w:rsid w:val="00CE615F"/>
    <w:rsid w:val="00CE6474"/>
    <w:rsid w:val="00CE6B1B"/>
    <w:rsid w:val="00CE7A41"/>
    <w:rsid w:val="00CF521D"/>
    <w:rsid w:val="00D020DE"/>
    <w:rsid w:val="00D029BF"/>
    <w:rsid w:val="00D05B58"/>
    <w:rsid w:val="00D05DEC"/>
    <w:rsid w:val="00D05E7E"/>
    <w:rsid w:val="00D10772"/>
    <w:rsid w:val="00D11EAB"/>
    <w:rsid w:val="00D160F3"/>
    <w:rsid w:val="00D2341E"/>
    <w:rsid w:val="00D243CC"/>
    <w:rsid w:val="00D308CA"/>
    <w:rsid w:val="00D33490"/>
    <w:rsid w:val="00D345BA"/>
    <w:rsid w:val="00D36F24"/>
    <w:rsid w:val="00D41116"/>
    <w:rsid w:val="00D45A2D"/>
    <w:rsid w:val="00D54155"/>
    <w:rsid w:val="00D5415E"/>
    <w:rsid w:val="00D60878"/>
    <w:rsid w:val="00D63064"/>
    <w:rsid w:val="00D64C58"/>
    <w:rsid w:val="00D67ADD"/>
    <w:rsid w:val="00D80AEA"/>
    <w:rsid w:val="00D906DB"/>
    <w:rsid w:val="00D90F6F"/>
    <w:rsid w:val="00D93C7B"/>
    <w:rsid w:val="00DA0B54"/>
    <w:rsid w:val="00DA29EC"/>
    <w:rsid w:val="00DA71D9"/>
    <w:rsid w:val="00DA7C5D"/>
    <w:rsid w:val="00DB18AB"/>
    <w:rsid w:val="00DB4509"/>
    <w:rsid w:val="00DB4E49"/>
    <w:rsid w:val="00DB6787"/>
    <w:rsid w:val="00DC0169"/>
    <w:rsid w:val="00DC2FDF"/>
    <w:rsid w:val="00DC3DD4"/>
    <w:rsid w:val="00DD6096"/>
    <w:rsid w:val="00DE09CD"/>
    <w:rsid w:val="00DE166C"/>
    <w:rsid w:val="00DE225E"/>
    <w:rsid w:val="00DE42B8"/>
    <w:rsid w:val="00DF1D38"/>
    <w:rsid w:val="00DF33D7"/>
    <w:rsid w:val="00DF600D"/>
    <w:rsid w:val="00E00B00"/>
    <w:rsid w:val="00E04DA4"/>
    <w:rsid w:val="00E111C9"/>
    <w:rsid w:val="00E1326F"/>
    <w:rsid w:val="00E16CB0"/>
    <w:rsid w:val="00E260D0"/>
    <w:rsid w:val="00E304F3"/>
    <w:rsid w:val="00E30FB0"/>
    <w:rsid w:val="00E31967"/>
    <w:rsid w:val="00E32089"/>
    <w:rsid w:val="00E339CE"/>
    <w:rsid w:val="00E350AB"/>
    <w:rsid w:val="00E35557"/>
    <w:rsid w:val="00E37FA4"/>
    <w:rsid w:val="00E47EB6"/>
    <w:rsid w:val="00E54896"/>
    <w:rsid w:val="00E5571D"/>
    <w:rsid w:val="00E57136"/>
    <w:rsid w:val="00E61933"/>
    <w:rsid w:val="00E64171"/>
    <w:rsid w:val="00E7559F"/>
    <w:rsid w:val="00E77B73"/>
    <w:rsid w:val="00E80E38"/>
    <w:rsid w:val="00E85BEA"/>
    <w:rsid w:val="00E861B4"/>
    <w:rsid w:val="00E86724"/>
    <w:rsid w:val="00EA001C"/>
    <w:rsid w:val="00EA1FAD"/>
    <w:rsid w:val="00EA2C15"/>
    <w:rsid w:val="00EA47C9"/>
    <w:rsid w:val="00EA7662"/>
    <w:rsid w:val="00ED057A"/>
    <w:rsid w:val="00ED3528"/>
    <w:rsid w:val="00ED5481"/>
    <w:rsid w:val="00ED687D"/>
    <w:rsid w:val="00EE4A47"/>
    <w:rsid w:val="00EE70B2"/>
    <w:rsid w:val="00EF30BF"/>
    <w:rsid w:val="00EF33DF"/>
    <w:rsid w:val="00F00037"/>
    <w:rsid w:val="00F05CA7"/>
    <w:rsid w:val="00F1054D"/>
    <w:rsid w:val="00F107C4"/>
    <w:rsid w:val="00F1578A"/>
    <w:rsid w:val="00F21957"/>
    <w:rsid w:val="00F21B90"/>
    <w:rsid w:val="00F23EE8"/>
    <w:rsid w:val="00F25D80"/>
    <w:rsid w:val="00F400C3"/>
    <w:rsid w:val="00F41067"/>
    <w:rsid w:val="00F51A9A"/>
    <w:rsid w:val="00F51EA0"/>
    <w:rsid w:val="00F624EB"/>
    <w:rsid w:val="00F62D15"/>
    <w:rsid w:val="00F67991"/>
    <w:rsid w:val="00F67997"/>
    <w:rsid w:val="00F7085E"/>
    <w:rsid w:val="00F82094"/>
    <w:rsid w:val="00F841FB"/>
    <w:rsid w:val="00F8657C"/>
    <w:rsid w:val="00FA100F"/>
    <w:rsid w:val="00FA2003"/>
    <w:rsid w:val="00FA2CBD"/>
    <w:rsid w:val="00FA7ABB"/>
    <w:rsid w:val="00FD093C"/>
    <w:rsid w:val="00FD6A4F"/>
    <w:rsid w:val="00FE2F31"/>
    <w:rsid w:val="00FE34B3"/>
    <w:rsid w:val="00FE64CC"/>
    <w:rsid w:val="00FE6685"/>
    <w:rsid w:val="00FE67C6"/>
    <w:rsid w:val="00FE687D"/>
    <w:rsid w:val="00FE6DB5"/>
    <w:rsid w:val="00FF068A"/>
    <w:rsid w:val="00FF2AB5"/>
    <w:rsid w:val="00FF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310538"/>
    <w:pPr>
      <w:keepNext/>
      <w:jc w:val="center"/>
      <w:outlineLvl w:val="0"/>
    </w:pPr>
    <w:rPr>
      <w:rFonts w:ascii="Times New Roman" w:eastAsia="Times New Roman" w:hAnsi="Times New Roman"/>
      <w:b/>
      <w:bCs/>
      <w:kern w:val="32"/>
      <w:sz w:val="2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BC50D1"/>
    <w:pPr>
      <w:keepNext/>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310538"/>
    <w:rPr>
      <w:rFonts w:ascii="Times New Roman" w:eastAsia="Times New Roman" w:hAnsi="Times New Roman"/>
      <w:b/>
      <w:bCs/>
      <w:kern w:val="32"/>
      <w:sz w:val="22"/>
      <w:szCs w:val="3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BC50D1"/>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tabel,Body Text Char1,Char Char2,Body of text,List Paragraph1,Body of text+1,Body of text+2,Body of text+3,List Paragraph11,Body of textCxSp,Header Char1,First Level Outline,spasi 2 taiiii"/>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1">
    <w:name w:val="Unresolved Mention1"/>
    <w:basedOn w:val="DefaultParagraphFont"/>
    <w:uiPriority w:val="99"/>
    <w:semiHidden/>
    <w:unhideWhenUsed/>
    <w:rsid w:val="00D2341E"/>
    <w:rPr>
      <w:color w:val="605E5C"/>
      <w:shd w:val="clear" w:color="auto" w:fill="E1DFDD"/>
    </w:rPr>
  </w:style>
  <w:style w:type="character" w:customStyle="1" w:styleId="ListParagraphChar">
    <w:name w:val="List Paragraph Char"/>
    <w:aliases w:val="tabel Char,Body Text Char1 Char,Char Char2 Char,Body of text Char,List Paragraph1 Char,Body of text+1 Char,Body of text+2 Char,Body of text+3 Char,List Paragraph11 Char,Body of textCxSp Char,Header Char1 Char,First Level Outline Char"/>
    <w:link w:val="ListParagraph"/>
    <w:uiPriority w:val="34"/>
    <w:qFormat/>
    <w:locked/>
    <w:rsid w:val="007C77BB"/>
    <w:rPr>
      <w:rFonts w:ascii="Times New Roman" w:hAnsi="Times New Roman"/>
      <w:sz w:val="18"/>
      <w:szCs w:val="22"/>
    </w:rPr>
  </w:style>
  <w:style w:type="paragraph" w:customStyle="1" w:styleId="Default">
    <w:name w:val="Default"/>
    <w:rsid w:val="00E85BEA"/>
    <w:pPr>
      <w:autoSpaceDE w:val="0"/>
      <w:autoSpaceDN w:val="0"/>
      <w:adjustRightInd w:val="0"/>
    </w:pPr>
    <w:rPr>
      <w:rFonts w:ascii="Times New Roman" w:eastAsiaTheme="minorHAnsi" w:hAnsi="Times New Roman"/>
      <w:color w:val="000000"/>
      <w:sz w:val="24"/>
      <w:szCs w:val="24"/>
    </w:rPr>
  </w:style>
  <w:style w:type="paragraph" w:styleId="NoSpacing">
    <w:name w:val="No Spacing"/>
    <w:uiPriority w:val="1"/>
    <w:qFormat/>
    <w:rsid w:val="00CC3CC0"/>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57136"/>
    <w:pPr>
      <w:widowControl w:val="0"/>
      <w:autoSpaceDE w:val="0"/>
      <w:autoSpaceDN w:val="0"/>
      <w:ind w:firstLine="0"/>
      <w:jc w:val="left"/>
    </w:pPr>
    <w:rPr>
      <w:rFonts w:eastAsia="Times New Roman"/>
      <w:sz w:val="22"/>
    </w:rPr>
  </w:style>
  <w:style w:type="character" w:customStyle="1" w:styleId="UnresolvedMention">
    <w:name w:val="Unresolved Mention"/>
    <w:basedOn w:val="DefaultParagraphFont"/>
    <w:uiPriority w:val="99"/>
    <w:semiHidden/>
    <w:unhideWhenUsed/>
    <w:rsid w:val="00301E4C"/>
    <w:rPr>
      <w:color w:val="605E5C"/>
      <w:shd w:val="clear" w:color="auto" w:fill="E1DFDD"/>
    </w:rPr>
  </w:style>
  <w:style w:type="character" w:customStyle="1" w:styleId="markedcontent">
    <w:name w:val="markedcontent"/>
    <w:basedOn w:val="DefaultParagraphFont"/>
    <w:rsid w:val="002E33DE"/>
  </w:style>
  <w:style w:type="paragraph" w:styleId="FootnoteText">
    <w:name w:val="footnote text"/>
    <w:basedOn w:val="Normal"/>
    <w:link w:val="FootnoteTextChar"/>
    <w:uiPriority w:val="99"/>
    <w:unhideWhenUsed/>
    <w:rsid w:val="002E33DE"/>
    <w:pPr>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E33DE"/>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2E33DE"/>
    <w:rPr>
      <w:vertAlign w:val="superscript"/>
    </w:rPr>
  </w:style>
  <w:style w:type="table" w:customStyle="1" w:styleId="TableGrid0">
    <w:name w:val="TableGrid"/>
    <w:rsid w:val="00DD6096"/>
    <w:rPr>
      <w:rFonts w:asciiTheme="minorHAnsi" w:eastAsiaTheme="minorEastAsia" w:hAnsiTheme="minorHAnsi" w:cstheme="minorBidi"/>
      <w:sz w:val="22"/>
      <w:szCs w:val="22"/>
      <w:lang w:val="id-ID" w:eastAsia="id-ID"/>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310538"/>
    <w:pPr>
      <w:keepNext/>
      <w:jc w:val="center"/>
      <w:outlineLvl w:val="0"/>
    </w:pPr>
    <w:rPr>
      <w:rFonts w:ascii="Times New Roman" w:eastAsia="Times New Roman" w:hAnsi="Times New Roman"/>
      <w:b/>
      <w:bCs/>
      <w:kern w:val="32"/>
      <w:sz w:val="2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BC50D1"/>
    <w:pPr>
      <w:keepNext/>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310538"/>
    <w:rPr>
      <w:rFonts w:ascii="Times New Roman" w:eastAsia="Times New Roman" w:hAnsi="Times New Roman"/>
      <w:b/>
      <w:bCs/>
      <w:kern w:val="32"/>
      <w:sz w:val="22"/>
      <w:szCs w:val="3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BC50D1"/>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tabel,Body Text Char1,Char Char2,Body of text,List Paragraph1,Body of text+1,Body of text+2,Body of text+3,List Paragraph11,Body of textCxSp,Header Char1,First Level Outline,spasi 2 taiiii"/>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1">
    <w:name w:val="Unresolved Mention1"/>
    <w:basedOn w:val="DefaultParagraphFont"/>
    <w:uiPriority w:val="99"/>
    <w:semiHidden/>
    <w:unhideWhenUsed/>
    <w:rsid w:val="00D2341E"/>
    <w:rPr>
      <w:color w:val="605E5C"/>
      <w:shd w:val="clear" w:color="auto" w:fill="E1DFDD"/>
    </w:rPr>
  </w:style>
  <w:style w:type="character" w:customStyle="1" w:styleId="ListParagraphChar">
    <w:name w:val="List Paragraph Char"/>
    <w:aliases w:val="tabel Char,Body Text Char1 Char,Char Char2 Char,Body of text Char,List Paragraph1 Char,Body of text+1 Char,Body of text+2 Char,Body of text+3 Char,List Paragraph11 Char,Body of textCxSp Char,Header Char1 Char,First Level Outline Char"/>
    <w:link w:val="ListParagraph"/>
    <w:uiPriority w:val="34"/>
    <w:qFormat/>
    <w:locked/>
    <w:rsid w:val="007C77BB"/>
    <w:rPr>
      <w:rFonts w:ascii="Times New Roman" w:hAnsi="Times New Roman"/>
      <w:sz w:val="18"/>
      <w:szCs w:val="22"/>
    </w:rPr>
  </w:style>
  <w:style w:type="paragraph" w:customStyle="1" w:styleId="Default">
    <w:name w:val="Default"/>
    <w:rsid w:val="00E85BEA"/>
    <w:pPr>
      <w:autoSpaceDE w:val="0"/>
      <w:autoSpaceDN w:val="0"/>
      <w:adjustRightInd w:val="0"/>
    </w:pPr>
    <w:rPr>
      <w:rFonts w:ascii="Times New Roman" w:eastAsiaTheme="minorHAnsi" w:hAnsi="Times New Roman"/>
      <w:color w:val="000000"/>
      <w:sz w:val="24"/>
      <w:szCs w:val="24"/>
    </w:rPr>
  </w:style>
  <w:style w:type="paragraph" w:styleId="NoSpacing">
    <w:name w:val="No Spacing"/>
    <w:uiPriority w:val="1"/>
    <w:qFormat/>
    <w:rsid w:val="00CC3CC0"/>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57136"/>
    <w:pPr>
      <w:widowControl w:val="0"/>
      <w:autoSpaceDE w:val="0"/>
      <w:autoSpaceDN w:val="0"/>
      <w:ind w:firstLine="0"/>
      <w:jc w:val="left"/>
    </w:pPr>
    <w:rPr>
      <w:rFonts w:eastAsia="Times New Roman"/>
      <w:sz w:val="22"/>
    </w:rPr>
  </w:style>
  <w:style w:type="character" w:customStyle="1" w:styleId="UnresolvedMention">
    <w:name w:val="Unresolved Mention"/>
    <w:basedOn w:val="DefaultParagraphFont"/>
    <w:uiPriority w:val="99"/>
    <w:semiHidden/>
    <w:unhideWhenUsed/>
    <w:rsid w:val="00301E4C"/>
    <w:rPr>
      <w:color w:val="605E5C"/>
      <w:shd w:val="clear" w:color="auto" w:fill="E1DFDD"/>
    </w:rPr>
  </w:style>
  <w:style w:type="character" w:customStyle="1" w:styleId="markedcontent">
    <w:name w:val="markedcontent"/>
    <w:basedOn w:val="DefaultParagraphFont"/>
    <w:rsid w:val="002E33DE"/>
  </w:style>
  <w:style w:type="paragraph" w:styleId="FootnoteText">
    <w:name w:val="footnote text"/>
    <w:basedOn w:val="Normal"/>
    <w:link w:val="FootnoteTextChar"/>
    <w:uiPriority w:val="99"/>
    <w:unhideWhenUsed/>
    <w:rsid w:val="002E33DE"/>
    <w:pPr>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E33DE"/>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2E33DE"/>
    <w:rPr>
      <w:vertAlign w:val="superscript"/>
    </w:rPr>
  </w:style>
  <w:style w:type="table" w:customStyle="1" w:styleId="TableGrid0">
    <w:name w:val="TableGrid"/>
    <w:rsid w:val="00DD6096"/>
    <w:rPr>
      <w:rFonts w:asciiTheme="minorHAnsi" w:eastAsiaTheme="minorEastAsia" w:hAnsiTheme="minorHAnsi" w:cstheme="minorBidi"/>
      <w:sz w:val="22"/>
      <w:szCs w:val="22"/>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493">
      <w:bodyDiv w:val="1"/>
      <w:marLeft w:val="0"/>
      <w:marRight w:val="0"/>
      <w:marTop w:val="0"/>
      <w:marBottom w:val="0"/>
      <w:divBdr>
        <w:top w:val="none" w:sz="0" w:space="0" w:color="auto"/>
        <w:left w:val="none" w:sz="0" w:space="0" w:color="auto"/>
        <w:bottom w:val="none" w:sz="0" w:space="0" w:color="auto"/>
        <w:right w:val="none" w:sz="0" w:space="0" w:color="auto"/>
      </w:divBdr>
      <w:divsChild>
        <w:div w:id="1209956936">
          <w:marLeft w:val="0"/>
          <w:marRight w:val="0"/>
          <w:marTop w:val="0"/>
          <w:marBottom w:val="0"/>
          <w:divBdr>
            <w:top w:val="none" w:sz="0" w:space="0" w:color="auto"/>
            <w:left w:val="none" w:sz="0" w:space="0" w:color="auto"/>
            <w:bottom w:val="none" w:sz="0" w:space="0" w:color="auto"/>
            <w:right w:val="none" w:sz="0" w:space="0" w:color="auto"/>
          </w:divBdr>
        </w:div>
      </w:divsChild>
    </w:div>
    <w:div w:id="53940043">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170149150">
      <w:bodyDiv w:val="1"/>
      <w:marLeft w:val="0"/>
      <w:marRight w:val="0"/>
      <w:marTop w:val="0"/>
      <w:marBottom w:val="0"/>
      <w:divBdr>
        <w:top w:val="none" w:sz="0" w:space="0" w:color="auto"/>
        <w:left w:val="none" w:sz="0" w:space="0" w:color="auto"/>
        <w:bottom w:val="none" w:sz="0" w:space="0" w:color="auto"/>
        <w:right w:val="none" w:sz="0" w:space="0" w:color="auto"/>
      </w:divBdr>
    </w:div>
    <w:div w:id="185142623">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243299764">
      <w:bodyDiv w:val="1"/>
      <w:marLeft w:val="0"/>
      <w:marRight w:val="0"/>
      <w:marTop w:val="0"/>
      <w:marBottom w:val="0"/>
      <w:divBdr>
        <w:top w:val="none" w:sz="0" w:space="0" w:color="auto"/>
        <w:left w:val="none" w:sz="0" w:space="0" w:color="auto"/>
        <w:bottom w:val="none" w:sz="0" w:space="0" w:color="auto"/>
        <w:right w:val="none" w:sz="0" w:space="0" w:color="auto"/>
      </w:divBdr>
    </w:div>
    <w:div w:id="294602393">
      <w:bodyDiv w:val="1"/>
      <w:marLeft w:val="0"/>
      <w:marRight w:val="0"/>
      <w:marTop w:val="0"/>
      <w:marBottom w:val="0"/>
      <w:divBdr>
        <w:top w:val="none" w:sz="0" w:space="0" w:color="auto"/>
        <w:left w:val="none" w:sz="0" w:space="0" w:color="auto"/>
        <w:bottom w:val="none" w:sz="0" w:space="0" w:color="auto"/>
        <w:right w:val="none" w:sz="0" w:space="0" w:color="auto"/>
      </w:divBdr>
    </w:div>
    <w:div w:id="317533925">
      <w:bodyDiv w:val="1"/>
      <w:marLeft w:val="0"/>
      <w:marRight w:val="0"/>
      <w:marTop w:val="0"/>
      <w:marBottom w:val="0"/>
      <w:divBdr>
        <w:top w:val="none" w:sz="0" w:space="0" w:color="auto"/>
        <w:left w:val="none" w:sz="0" w:space="0" w:color="auto"/>
        <w:bottom w:val="none" w:sz="0" w:space="0" w:color="auto"/>
        <w:right w:val="none" w:sz="0" w:space="0" w:color="auto"/>
      </w:divBdr>
    </w:div>
    <w:div w:id="338821518">
      <w:bodyDiv w:val="1"/>
      <w:marLeft w:val="0"/>
      <w:marRight w:val="0"/>
      <w:marTop w:val="0"/>
      <w:marBottom w:val="0"/>
      <w:divBdr>
        <w:top w:val="none" w:sz="0" w:space="0" w:color="auto"/>
        <w:left w:val="none" w:sz="0" w:space="0" w:color="auto"/>
        <w:bottom w:val="none" w:sz="0" w:space="0" w:color="auto"/>
        <w:right w:val="none" w:sz="0" w:space="0" w:color="auto"/>
      </w:divBdr>
    </w:div>
    <w:div w:id="394280059">
      <w:bodyDiv w:val="1"/>
      <w:marLeft w:val="0"/>
      <w:marRight w:val="0"/>
      <w:marTop w:val="0"/>
      <w:marBottom w:val="0"/>
      <w:divBdr>
        <w:top w:val="none" w:sz="0" w:space="0" w:color="auto"/>
        <w:left w:val="none" w:sz="0" w:space="0" w:color="auto"/>
        <w:bottom w:val="none" w:sz="0" w:space="0" w:color="auto"/>
        <w:right w:val="none" w:sz="0" w:space="0" w:color="auto"/>
      </w:divBdr>
    </w:div>
    <w:div w:id="401874002">
      <w:bodyDiv w:val="1"/>
      <w:marLeft w:val="0"/>
      <w:marRight w:val="0"/>
      <w:marTop w:val="0"/>
      <w:marBottom w:val="0"/>
      <w:divBdr>
        <w:top w:val="none" w:sz="0" w:space="0" w:color="auto"/>
        <w:left w:val="none" w:sz="0" w:space="0" w:color="auto"/>
        <w:bottom w:val="none" w:sz="0" w:space="0" w:color="auto"/>
        <w:right w:val="none" w:sz="0" w:space="0" w:color="auto"/>
      </w:divBdr>
    </w:div>
    <w:div w:id="431323708">
      <w:bodyDiv w:val="1"/>
      <w:marLeft w:val="0"/>
      <w:marRight w:val="0"/>
      <w:marTop w:val="0"/>
      <w:marBottom w:val="0"/>
      <w:divBdr>
        <w:top w:val="none" w:sz="0" w:space="0" w:color="auto"/>
        <w:left w:val="none" w:sz="0" w:space="0" w:color="auto"/>
        <w:bottom w:val="none" w:sz="0" w:space="0" w:color="auto"/>
        <w:right w:val="none" w:sz="0" w:space="0" w:color="auto"/>
      </w:divBdr>
    </w:div>
    <w:div w:id="495149088">
      <w:bodyDiv w:val="1"/>
      <w:marLeft w:val="0"/>
      <w:marRight w:val="0"/>
      <w:marTop w:val="0"/>
      <w:marBottom w:val="0"/>
      <w:divBdr>
        <w:top w:val="none" w:sz="0" w:space="0" w:color="auto"/>
        <w:left w:val="none" w:sz="0" w:space="0" w:color="auto"/>
        <w:bottom w:val="none" w:sz="0" w:space="0" w:color="auto"/>
        <w:right w:val="none" w:sz="0" w:space="0" w:color="auto"/>
      </w:divBdr>
    </w:div>
    <w:div w:id="600651012">
      <w:bodyDiv w:val="1"/>
      <w:marLeft w:val="0"/>
      <w:marRight w:val="0"/>
      <w:marTop w:val="0"/>
      <w:marBottom w:val="0"/>
      <w:divBdr>
        <w:top w:val="none" w:sz="0" w:space="0" w:color="auto"/>
        <w:left w:val="none" w:sz="0" w:space="0" w:color="auto"/>
        <w:bottom w:val="none" w:sz="0" w:space="0" w:color="auto"/>
        <w:right w:val="none" w:sz="0" w:space="0" w:color="auto"/>
      </w:divBdr>
    </w:div>
    <w:div w:id="617490788">
      <w:bodyDiv w:val="1"/>
      <w:marLeft w:val="0"/>
      <w:marRight w:val="0"/>
      <w:marTop w:val="0"/>
      <w:marBottom w:val="0"/>
      <w:divBdr>
        <w:top w:val="none" w:sz="0" w:space="0" w:color="auto"/>
        <w:left w:val="none" w:sz="0" w:space="0" w:color="auto"/>
        <w:bottom w:val="none" w:sz="0" w:space="0" w:color="auto"/>
        <w:right w:val="none" w:sz="0" w:space="0" w:color="auto"/>
      </w:divBdr>
    </w:div>
    <w:div w:id="645207884">
      <w:bodyDiv w:val="1"/>
      <w:marLeft w:val="0"/>
      <w:marRight w:val="0"/>
      <w:marTop w:val="0"/>
      <w:marBottom w:val="0"/>
      <w:divBdr>
        <w:top w:val="none" w:sz="0" w:space="0" w:color="auto"/>
        <w:left w:val="none" w:sz="0" w:space="0" w:color="auto"/>
        <w:bottom w:val="none" w:sz="0" w:space="0" w:color="auto"/>
        <w:right w:val="none" w:sz="0" w:space="0" w:color="auto"/>
      </w:divBdr>
    </w:div>
    <w:div w:id="679814399">
      <w:bodyDiv w:val="1"/>
      <w:marLeft w:val="0"/>
      <w:marRight w:val="0"/>
      <w:marTop w:val="0"/>
      <w:marBottom w:val="0"/>
      <w:divBdr>
        <w:top w:val="none" w:sz="0" w:space="0" w:color="auto"/>
        <w:left w:val="none" w:sz="0" w:space="0" w:color="auto"/>
        <w:bottom w:val="none" w:sz="0" w:space="0" w:color="auto"/>
        <w:right w:val="none" w:sz="0" w:space="0" w:color="auto"/>
      </w:divBdr>
    </w:div>
    <w:div w:id="733309172">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49233142">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789204444">
      <w:bodyDiv w:val="1"/>
      <w:marLeft w:val="0"/>
      <w:marRight w:val="0"/>
      <w:marTop w:val="0"/>
      <w:marBottom w:val="0"/>
      <w:divBdr>
        <w:top w:val="none" w:sz="0" w:space="0" w:color="auto"/>
        <w:left w:val="none" w:sz="0" w:space="0" w:color="auto"/>
        <w:bottom w:val="none" w:sz="0" w:space="0" w:color="auto"/>
        <w:right w:val="none" w:sz="0" w:space="0" w:color="auto"/>
      </w:divBdr>
    </w:div>
    <w:div w:id="821584765">
      <w:bodyDiv w:val="1"/>
      <w:marLeft w:val="0"/>
      <w:marRight w:val="0"/>
      <w:marTop w:val="0"/>
      <w:marBottom w:val="0"/>
      <w:divBdr>
        <w:top w:val="none" w:sz="0" w:space="0" w:color="auto"/>
        <w:left w:val="none" w:sz="0" w:space="0" w:color="auto"/>
        <w:bottom w:val="none" w:sz="0" w:space="0" w:color="auto"/>
        <w:right w:val="none" w:sz="0" w:space="0" w:color="auto"/>
      </w:divBdr>
    </w:div>
    <w:div w:id="831674370">
      <w:bodyDiv w:val="1"/>
      <w:marLeft w:val="0"/>
      <w:marRight w:val="0"/>
      <w:marTop w:val="0"/>
      <w:marBottom w:val="0"/>
      <w:divBdr>
        <w:top w:val="none" w:sz="0" w:space="0" w:color="auto"/>
        <w:left w:val="none" w:sz="0" w:space="0" w:color="auto"/>
        <w:bottom w:val="none" w:sz="0" w:space="0" w:color="auto"/>
        <w:right w:val="none" w:sz="0" w:space="0" w:color="auto"/>
      </w:divBdr>
    </w:div>
    <w:div w:id="838885464">
      <w:bodyDiv w:val="1"/>
      <w:marLeft w:val="0"/>
      <w:marRight w:val="0"/>
      <w:marTop w:val="0"/>
      <w:marBottom w:val="0"/>
      <w:divBdr>
        <w:top w:val="none" w:sz="0" w:space="0" w:color="auto"/>
        <w:left w:val="none" w:sz="0" w:space="0" w:color="auto"/>
        <w:bottom w:val="none" w:sz="0" w:space="0" w:color="auto"/>
        <w:right w:val="none" w:sz="0" w:space="0" w:color="auto"/>
      </w:divBdr>
    </w:div>
    <w:div w:id="842009582">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49173592">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880286339">
      <w:bodyDiv w:val="1"/>
      <w:marLeft w:val="0"/>
      <w:marRight w:val="0"/>
      <w:marTop w:val="0"/>
      <w:marBottom w:val="0"/>
      <w:divBdr>
        <w:top w:val="none" w:sz="0" w:space="0" w:color="auto"/>
        <w:left w:val="none" w:sz="0" w:space="0" w:color="auto"/>
        <w:bottom w:val="none" w:sz="0" w:space="0" w:color="auto"/>
        <w:right w:val="none" w:sz="0" w:space="0" w:color="auto"/>
      </w:divBdr>
    </w:div>
    <w:div w:id="929656786">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79533445">
      <w:bodyDiv w:val="1"/>
      <w:marLeft w:val="0"/>
      <w:marRight w:val="0"/>
      <w:marTop w:val="0"/>
      <w:marBottom w:val="0"/>
      <w:divBdr>
        <w:top w:val="none" w:sz="0" w:space="0" w:color="auto"/>
        <w:left w:val="none" w:sz="0" w:space="0" w:color="auto"/>
        <w:bottom w:val="none" w:sz="0" w:space="0" w:color="auto"/>
        <w:right w:val="none" w:sz="0" w:space="0" w:color="auto"/>
      </w:divBdr>
    </w:div>
    <w:div w:id="986786079">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296717454">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397439737">
      <w:bodyDiv w:val="1"/>
      <w:marLeft w:val="0"/>
      <w:marRight w:val="0"/>
      <w:marTop w:val="0"/>
      <w:marBottom w:val="0"/>
      <w:divBdr>
        <w:top w:val="none" w:sz="0" w:space="0" w:color="auto"/>
        <w:left w:val="none" w:sz="0" w:space="0" w:color="auto"/>
        <w:bottom w:val="none" w:sz="0" w:space="0" w:color="auto"/>
        <w:right w:val="none" w:sz="0" w:space="0" w:color="auto"/>
      </w:divBdr>
    </w:div>
    <w:div w:id="1486775576">
      <w:bodyDiv w:val="1"/>
      <w:marLeft w:val="0"/>
      <w:marRight w:val="0"/>
      <w:marTop w:val="0"/>
      <w:marBottom w:val="0"/>
      <w:divBdr>
        <w:top w:val="none" w:sz="0" w:space="0" w:color="auto"/>
        <w:left w:val="none" w:sz="0" w:space="0" w:color="auto"/>
        <w:bottom w:val="none" w:sz="0" w:space="0" w:color="auto"/>
        <w:right w:val="none" w:sz="0" w:space="0" w:color="auto"/>
      </w:divBdr>
    </w:div>
    <w:div w:id="1555701271">
      <w:bodyDiv w:val="1"/>
      <w:marLeft w:val="0"/>
      <w:marRight w:val="0"/>
      <w:marTop w:val="0"/>
      <w:marBottom w:val="0"/>
      <w:divBdr>
        <w:top w:val="none" w:sz="0" w:space="0" w:color="auto"/>
        <w:left w:val="none" w:sz="0" w:space="0" w:color="auto"/>
        <w:bottom w:val="none" w:sz="0" w:space="0" w:color="auto"/>
        <w:right w:val="none" w:sz="0" w:space="0" w:color="auto"/>
      </w:divBdr>
    </w:div>
    <w:div w:id="1562329231">
      <w:bodyDiv w:val="1"/>
      <w:marLeft w:val="0"/>
      <w:marRight w:val="0"/>
      <w:marTop w:val="0"/>
      <w:marBottom w:val="0"/>
      <w:divBdr>
        <w:top w:val="none" w:sz="0" w:space="0" w:color="auto"/>
        <w:left w:val="none" w:sz="0" w:space="0" w:color="auto"/>
        <w:bottom w:val="none" w:sz="0" w:space="0" w:color="auto"/>
        <w:right w:val="none" w:sz="0" w:space="0" w:color="auto"/>
      </w:divBdr>
    </w:div>
    <w:div w:id="1572420221">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597902343">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2896968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14764342">
      <w:bodyDiv w:val="1"/>
      <w:marLeft w:val="0"/>
      <w:marRight w:val="0"/>
      <w:marTop w:val="0"/>
      <w:marBottom w:val="0"/>
      <w:divBdr>
        <w:top w:val="none" w:sz="0" w:space="0" w:color="auto"/>
        <w:left w:val="none" w:sz="0" w:space="0" w:color="auto"/>
        <w:bottom w:val="none" w:sz="0" w:space="0" w:color="auto"/>
        <w:right w:val="none" w:sz="0" w:space="0" w:color="auto"/>
      </w:divBdr>
    </w:div>
    <w:div w:id="1743988240">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786845651">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41373719">
      <w:bodyDiv w:val="1"/>
      <w:marLeft w:val="0"/>
      <w:marRight w:val="0"/>
      <w:marTop w:val="0"/>
      <w:marBottom w:val="0"/>
      <w:divBdr>
        <w:top w:val="none" w:sz="0" w:space="0" w:color="auto"/>
        <w:left w:val="none" w:sz="0" w:space="0" w:color="auto"/>
        <w:bottom w:val="none" w:sz="0" w:space="0" w:color="auto"/>
        <w:right w:val="none" w:sz="0" w:space="0" w:color="auto"/>
      </w:divBdr>
    </w:div>
    <w:div w:id="1958099580">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08634155">
      <w:bodyDiv w:val="1"/>
      <w:marLeft w:val="0"/>
      <w:marRight w:val="0"/>
      <w:marTop w:val="0"/>
      <w:marBottom w:val="0"/>
      <w:divBdr>
        <w:top w:val="none" w:sz="0" w:space="0" w:color="auto"/>
        <w:left w:val="none" w:sz="0" w:space="0" w:color="auto"/>
        <w:bottom w:val="none" w:sz="0" w:space="0" w:color="auto"/>
        <w:right w:val="none" w:sz="0" w:space="0" w:color="auto"/>
      </w:divBdr>
    </w:div>
    <w:div w:id="2048286185">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2941897">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 w:id="2098596479">
      <w:bodyDiv w:val="1"/>
      <w:marLeft w:val="0"/>
      <w:marRight w:val="0"/>
      <w:marTop w:val="0"/>
      <w:marBottom w:val="0"/>
      <w:divBdr>
        <w:top w:val="none" w:sz="0" w:space="0" w:color="auto"/>
        <w:left w:val="none" w:sz="0" w:space="0" w:color="auto"/>
        <w:bottom w:val="none" w:sz="0" w:space="0" w:color="auto"/>
        <w:right w:val="none" w:sz="0" w:space="0" w:color="auto"/>
      </w:divBdr>
    </w:div>
    <w:div w:id="21165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CA1DCD45-E4F2-49D0-AFB9-796FF3E5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116</TotalTime>
  <Pages>8</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14517</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HP</cp:lastModifiedBy>
  <cp:revision>22</cp:revision>
  <cp:lastPrinted>2016-08-02T09:01:00Z</cp:lastPrinted>
  <dcterms:created xsi:type="dcterms:W3CDTF">2021-11-26T04:35:00Z</dcterms:created>
  <dcterms:modified xsi:type="dcterms:W3CDTF">2023-04-24T04:11:00Z</dcterms:modified>
</cp:coreProperties>
</file>