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AF72E" w14:textId="77777777" w:rsidR="00DF11B2" w:rsidRDefault="00000000">
      <w:pPr>
        <w:spacing w:after="0" w:line="240" w:lineRule="auto"/>
        <w:jc w:val="center"/>
        <w:rPr>
          <w:rFonts w:ascii="Garamond" w:hAnsi="Garamond" w:cs="Times New Roman"/>
          <w:b/>
          <w:bCs/>
          <w:color w:val="385623" w:themeColor="accent6" w:themeShade="80"/>
          <w:sz w:val="28"/>
          <w:szCs w:val="28"/>
        </w:rPr>
      </w:pPr>
      <w:r>
        <w:rPr>
          <w:rFonts w:ascii="Garamond" w:hAnsi="Garamond" w:cs="Times New Roman"/>
          <w:b/>
          <w:bCs/>
          <w:color w:val="385623" w:themeColor="accent6" w:themeShade="80"/>
          <w:sz w:val="28"/>
          <w:szCs w:val="28"/>
        </w:rPr>
        <w:t>Fulfilling Education Rights in West Kalimantan Borderlands: Legal Harmonization and Local Realities</w:t>
      </w:r>
    </w:p>
    <w:p w14:paraId="5D9985B0" w14:textId="77777777" w:rsidR="00DF11B2" w:rsidRDefault="00DF11B2">
      <w:pPr>
        <w:spacing w:after="0" w:line="240" w:lineRule="auto"/>
        <w:jc w:val="center"/>
        <w:rPr>
          <w:rFonts w:ascii="Garamond" w:hAnsi="Garamond" w:cs="Times New Roman"/>
        </w:rPr>
      </w:pPr>
    </w:p>
    <w:p w14:paraId="65AA9304" w14:textId="77777777" w:rsidR="00DF11B2" w:rsidRDefault="00000000">
      <w:pPr>
        <w:spacing w:after="0" w:line="240" w:lineRule="auto"/>
        <w:jc w:val="center"/>
        <w:rPr>
          <w:rFonts w:ascii="Garamond" w:hAnsi="Garamond" w:cs="Times New Roman"/>
          <w:sz w:val="22"/>
          <w:szCs w:val="22"/>
        </w:rPr>
      </w:pPr>
      <w:r>
        <w:rPr>
          <w:rFonts w:ascii="Garamond" w:hAnsi="Garamond" w:cs="Times New Roman"/>
          <w:b/>
          <w:bCs/>
          <w:sz w:val="22"/>
          <w:szCs w:val="22"/>
        </w:rPr>
        <w:t>Endah Rantau Itasari</w:t>
      </w:r>
      <w:r>
        <w:rPr>
          <w:rFonts w:ascii="Garamond" w:hAnsi="Garamond" w:cs="Times New Roman"/>
          <w:b/>
          <w:bCs/>
          <w:sz w:val="22"/>
          <w:szCs w:val="22"/>
          <w:vertAlign w:val="superscript"/>
        </w:rPr>
        <w:t>1</w:t>
      </w:r>
      <w:r>
        <w:rPr>
          <w:rFonts w:ascii="Garamond" w:hAnsi="Garamond" w:cs="Times New Roman"/>
          <w:b/>
          <w:bCs/>
          <w:sz w:val="22"/>
          <w:szCs w:val="22"/>
        </w:rPr>
        <w:t>*, Safaruddin Harefa</w:t>
      </w:r>
      <w:r>
        <w:rPr>
          <w:rFonts w:ascii="Garamond" w:hAnsi="Garamond" w:cs="Times New Roman"/>
          <w:b/>
          <w:bCs/>
          <w:sz w:val="22"/>
          <w:szCs w:val="22"/>
          <w:vertAlign w:val="superscript"/>
        </w:rPr>
        <w:t>2</w:t>
      </w:r>
      <w:r>
        <w:rPr>
          <w:rFonts w:ascii="Garamond" w:hAnsi="Garamond" w:cs="Times New Roman"/>
          <w:b/>
          <w:bCs/>
          <w:sz w:val="22"/>
          <w:szCs w:val="22"/>
        </w:rPr>
        <w:t>,</w:t>
      </w:r>
    </w:p>
    <w:p w14:paraId="5BD6F7BD" w14:textId="77777777" w:rsidR="00DF11B2" w:rsidRDefault="00000000">
      <w:pPr>
        <w:pBdr>
          <w:bottom w:val="single" w:sz="6" w:space="1" w:color="auto"/>
        </w:pBdr>
        <w:spacing w:after="0" w:line="240" w:lineRule="auto"/>
        <w:jc w:val="center"/>
        <w:rPr>
          <w:rFonts w:ascii="Garamond" w:hAnsi="Garamond" w:cs="Times New Roman"/>
          <w:sz w:val="22"/>
          <w:szCs w:val="22"/>
        </w:rPr>
      </w:pPr>
      <w:r>
        <w:rPr>
          <w:rFonts w:ascii="Garamond" w:hAnsi="Garamond" w:cs="Times New Roman"/>
          <w:sz w:val="22"/>
          <w:szCs w:val="22"/>
          <w:vertAlign w:val="superscript"/>
        </w:rPr>
        <w:t>1</w:t>
      </w:r>
      <w:r>
        <w:rPr>
          <w:rFonts w:ascii="Garamond" w:hAnsi="Garamond" w:cs="Times New Roman"/>
          <w:sz w:val="22"/>
          <w:szCs w:val="22"/>
        </w:rPr>
        <w:t>Universitas Tanjungpura, Pontianak</w:t>
      </w:r>
    </w:p>
    <w:p w14:paraId="60EAEE17" w14:textId="77777777" w:rsidR="00DF11B2" w:rsidRDefault="00000000">
      <w:pPr>
        <w:pBdr>
          <w:bottom w:val="single" w:sz="6" w:space="1" w:color="auto"/>
        </w:pBdr>
        <w:spacing w:after="0" w:line="240" w:lineRule="auto"/>
        <w:jc w:val="center"/>
        <w:rPr>
          <w:rFonts w:ascii="Garamond" w:hAnsi="Garamond" w:cs="Times New Roman"/>
          <w:sz w:val="22"/>
          <w:szCs w:val="22"/>
        </w:rPr>
      </w:pPr>
      <w:r>
        <w:rPr>
          <w:rFonts w:ascii="Garamond" w:hAnsi="Garamond" w:cs="Times New Roman"/>
          <w:sz w:val="22"/>
          <w:szCs w:val="22"/>
          <w:vertAlign w:val="superscript"/>
        </w:rPr>
        <w:t>2</w:t>
      </w:r>
      <w:r>
        <w:rPr>
          <w:rFonts w:ascii="Garamond" w:hAnsi="Garamond" w:cs="Times New Roman"/>
          <w:sz w:val="22"/>
          <w:szCs w:val="22"/>
        </w:rPr>
        <w:t>Universitas Tanjungpura, Pontianak</w:t>
      </w:r>
    </w:p>
    <w:p w14:paraId="2FBCDFCB" w14:textId="77777777" w:rsidR="00DF11B2" w:rsidRDefault="00000000">
      <w:pPr>
        <w:pBdr>
          <w:bottom w:val="single" w:sz="6" w:space="1" w:color="auto"/>
        </w:pBdr>
        <w:spacing w:after="0" w:line="240" w:lineRule="auto"/>
        <w:jc w:val="center"/>
        <w:rPr>
          <w:rFonts w:ascii="Garamond" w:hAnsi="Garamond"/>
        </w:rPr>
      </w:pPr>
      <w:r>
        <w:rPr>
          <w:rFonts w:ascii="Garamond" w:hAnsi="Garamond" w:cs="Times New Roman"/>
          <w:b/>
          <w:bCs/>
          <w:sz w:val="22"/>
          <w:szCs w:val="22"/>
        </w:rPr>
        <w:t>e-mail:</w:t>
      </w:r>
      <w:r>
        <w:rPr>
          <w:rFonts w:ascii="Garamond" w:hAnsi="Garamond" w:cs="Times New Roman"/>
          <w:sz w:val="22"/>
          <w:szCs w:val="22"/>
        </w:rPr>
        <w:t xml:space="preserve"> </w:t>
      </w:r>
      <w:hyperlink r:id="rId8" w:history="1">
        <w:r w:rsidR="00DF11B2">
          <w:rPr>
            <w:rStyle w:val="Hyperlink"/>
            <w:rFonts w:ascii="Garamond" w:hAnsi="Garamond" w:cs="Times New Roman"/>
            <w:sz w:val="22"/>
            <w:szCs w:val="22"/>
          </w:rPr>
          <w:t>endah.rantau.itasari@hukum.untan.ac.id</w:t>
        </w:r>
      </w:hyperlink>
      <w:r>
        <w:rPr>
          <w:rFonts w:ascii="Garamond" w:hAnsi="Garamond" w:cs="Times New Roman"/>
          <w:sz w:val="22"/>
          <w:szCs w:val="22"/>
        </w:rPr>
        <w:t xml:space="preserve">, </w:t>
      </w:r>
      <w:hyperlink r:id="rId9" w:history="1">
        <w:r w:rsidR="00DF11B2">
          <w:rPr>
            <w:rStyle w:val="Hyperlink"/>
            <w:rFonts w:ascii="Garamond" w:hAnsi="Garamond" w:cs="Times New Roman"/>
            <w:sz w:val="22"/>
            <w:szCs w:val="22"/>
          </w:rPr>
          <w:t>safaruddinharefa@hukum.untan.ac.id</w:t>
        </w:r>
      </w:hyperlink>
      <w:r>
        <w:rPr>
          <w:rFonts w:ascii="Garamond" w:hAnsi="Garamond" w:cs="Times New Roman"/>
          <w:sz w:val="22"/>
          <w:szCs w:val="22"/>
        </w:rPr>
        <w:t xml:space="preserve">  </w:t>
      </w:r>
    </w:p>
    <w:p w14:paraId="7BE236C0" w14:textId="77777777" w:rsidR="00DF11B2" w:rsidRDefault="00000000">
      <w:pPr>
        <w:pBdr>
          <w:bottom w:val="single" w:sz="6" w:space="1" w:color="auto"/>
        </w:pBdr>
        <w:spacing w:after="0" w:line="240" w:lineRule="auto"/>
        <w:jc w:val="center"/>
        <w:rPr>
          <w:rFonts w:ascii="Garamond" w:hAnsi="Garamond" w:cs="Times New Roman"/>
          <w:sz w:val="22"/>
          <w:szCs w:val="22"/>
        </w:rPr>
      </w:pPr>
      <w:r>
        <w:rPr>
          <w:rFonts w:ascii="Garamond" w:hAnsi="Garamond" w:cs="Times New Roman"/>
          <w:sz w:val="22"/>
          <w:szCs w:val="22"/>
        </w:rPr>
        <w:t xml:space="preserve">*Corresponding Author: </w:t>
      </w:r>
      <w:hyperlink r:id="rId10" w:history="1">
        <w:r w:rsidR="00DF11B2">
          <w:rPr>
            <w:rStyle w:val="Hyperlink"/>
            <w:rFonts w:ascii="Garamond" w:hAnsi="Garamond" w:cs="Times New Roman"/>
            <w:sz w:val="22"/>
            <w:szCs w:val="22"/>
          </w:rPr>
          <w:t>endah.rantau.itasari@hukum.untan.ac.id</w:t>
        </w:r>
      </w:hyperlink>
    </w:p>
    <w:p w14:paraId="305B52F2" w14:textId="77777777" w:rsidR="00DF11B2" w:rsidRDefault="00DF11B2">
      <w:pPr>
        <w:pStyle w:val="Title"/>
        <w:spacing w:after="0" w:line="276" w:lineRule="auto"/>
        <w:rPr>
          <w:rFonts w:ascii="Garamond" w:hAnsi="Garamond" w:cs="Times New Roman"/>
          <w:b/>
          <w:bCs/>
          <w:sz w:val="2"/>
          <w:szCs w:val="2"/>
        </w:rPr>
      </w:pPr>
    </w:p>
    <w:tbl>
      <w:tblPr>
        <w:tblStyle w:val="TableGrid"/>
        <w:tblW w:w="9072"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7512"/>
      </w:tblGrid>
      <w:tr w:rsidR="00DF11B2" w14:paraId="137DB157" w14:textId="77777777">
        <w:trPr>
          <w:jc w:val="center"/>
        </w:trPr>
        <w:tc>
          <w:tcPr>
            <w:tcW w:w="1560" w:type="dxa"/>
          </w:tcPr>
          <w:p w14:paraId="3A89D6AC" w14:textId="77777777" w:rsidR="00DF11B2" w:rsidRDefault="00DF11B2">
            <w:pPr>
              <w:pStyle w:val="Title"/>
              <w:spacing w:after="0"/>
              <w:rPr>
                <w:rFonts w:ascii="Garamond" w:hAnsi="Garamond" w:cs="Times New Roman"/>
                <w:sz w:val="22"/>
                <w:szCs w:val="22"/>
              </w:rPr>
            </w:pPr>
          </w:p>
        </w:tc>
        <w:tc>
          <w:tcPr>
            <w:tcW w:w="7512" w:type="dxa"/>
            <w:tcBorders>
              <w:top w:val="single" w:sz="4" w:space="0" w:color="auto"/>
              <w:bottom w:val="single" w:sz="4" w:space="0" w:color="auto"/>
            </w:tcBorders>
          </w:tcPr>
          <w:p w14:paraId="54FD4645" w14:textId="77777777" w:rsidR="00DF11B2" w:rsidRDefault="00000000">
            <w:pPr>
              <w:pStyle w:val="Title"/>
              <w:spacing w:after="0"/>
              <w:jc w:val="center"/>
              <w:rPr>
                <w:rFonts w:ascii="Garamond" w:hAnsi="Garamond" w:cs="Times New Roman"/>
                <w:b/>
                <w:bCs/>
                <w:sz w:val="22"/>
                <w:szCs w:val="22"/>
              </w:rPr>
            </w:pPr>
            <w:r>
              <w:rPr>
                <w:rFonts w:ascii="Garamond" w:hAnsi="Garamond" w:cs="Times New Roman"/>
                <w:b/>
                <w:bCs/>
                <w:sz w:val="22"/>
                <w:szCs w:val="22"/>
              </w:rPr>
              <w:t>ABSTRACT</w:t>
            </w:r>
          </w:p>
        </w:tc>
      </w:tr>
      <w:tr w:rsidR="00DF11B2" w14:paraId="25B77ADE" w14:textId="77777777">
        <w:trPr>
          <w:jc w:val="center"/>
        </w:trPr>
        <w:tc>
          <w:tcPr>
            <w:tcW w:w="1560" w:type="dxa"/>
            <w:vMerge w:val="restart"/>
          </w:tcPr>
          <w:p w14:paraId="58091C23" w14:textId="77777777" w:rsidR="00DF11B2" w:rsidRDefault="00000000">
            <w:pPr>
              <w:pStyle w:val="Title"/>
              <w:spacing w:after="0"/>
              <w:rPr>
                <w:rFonts w:ascii="Garamond" w:hAnsi="Garamond" w:cs="Times New Roman"/>
                <w:b/>
                <w:bCs/>
                <w:sz w:val="22"/>
                <w:szCs w:val="22"/>
              </w:rPr>
            </w:pPr>
            <w:r>
              <w:rPr>
                <w:rFonts w:ascii="Garamond" w:hAnsi="Garamond" w:cs="Times New Roman"/>
                <w:b/>
                <w:bCs/>
                <w:sz w:val="22"/>
                <w:szCs w:val="22"/>
              </w:rPr>
              <w:t>Keywords:</w:t>
            </w:r>
          </w:p>
          <w:p w14:paraId="70895A21" w14:textId="77777777" w:rsidR="00DF11B2" w:rsidRDefault="00000000">
            <w:pPr>
              <w:pStyle w:val="Title"/>
              <w:spacing w:after="0"/>
              <w:rPr>
                <w:rFonts w:ascii="Garamond" w:hAnsi="Garamond" w:cs="Times New Roman"/>
                <w:b/>
                <w:bCs/>
                <w:i/>
                <w:sz w:val="22"/>
                <w:szCs w:val="22"/>
              </w:rPr>
            </w:pPr>
            <w:r>
              <w:rPr>
                <w:rFonts w:ascii="Garamond" w:hAnsi="Garamond" w:cs="Times New Roman"/>
                <w:i/>
                <w:iCs/>
                <w:sz w:val="22"/>
                <w:szCs w:val="22"/>
              </w:rPr>
              <w:t>Border Areas; Education Rights; Legal Harmonization; Progressive Law; Social Inclusion</w:t>
            </w:r>
          </w:p>
          <w:p w14:paraId="6053A803" w14:textId="77777777" w:rsidR="00DF11B2" w:rsidRDefault="00DF11B2">
            <w:pPr>
              <w:pStyle w:val="Title"/>
              <w:spacing w:after="0"/>
              <w:rPr>
                <w:rFonts w:ascii="Garamond" w:hAnsi="Garamond" w:cs="Times New Roman"/>
                <w:b/>
                <w:bCs/>
                <w:sz w:val="22"/>
                <w:szCs w:val="22"/>
              </w:rPr>
            </w:pPr>
          </w:p>
          <w:p w14:paraId="04615708" w14:textId="77777777" w:rsidR="00DF11B2" w:rsidRDefault="00000000">
            <w:pPr>
              <w:pStyle w:val="Title"/>
              <w:spacing w:after="0"/>
              <w:rPr>
                <w:rFonts w:ascii="Garamond" w:hAnsi="Garamond" w:cs="Times New Roman"/>
                <w:b/>
                <w:bCs/>
                <w:sz w:val="20"/>
                <w:szCs w:val="20"/>
              </w:rPr>
            </w:pPr>
            <w:r>
              <w:rPr>
                <w:rFonts w:ascii="Garamond" w:hAnsi="Garamond" w:cs="Times New Roman"/>
                <w:b/>
                <w:bCs/>
                <w:i/>
                <w:iCs/>
                <w:sz w:val="20"/>
                <w:szCs w:val="20"/>
              </w:rPr>
              <w:t>Article Info</w:t>
            </w:r>
            <w:r>
              <w:rPr>
                <w:rFonts w:ascii="Garamond" w:hAnsi="Garamond" w:cs="Times New Roman"/>
                <w:b/>
                <w:bCs/>
                <w:sz w:val="20"/>
                <w:szCs w:val="20"/>
              </w:rPr>
              <w:t>:</w:t>
            </w:r>
          </w:p>
          <w:p w14:paraId="25547C83" w14:textId="77777777" w:rsidR="00DF11B2" w:rsidRDefault="00000000">
            <w:pPr>
              <w:pStyle w:val="Title"/>
              <w:spacing w:after="0"/>
              <w:rPr>
                <w:rFonts w:ascii="Garamond" w:hAnsi="Garamond" w:cs="Times New Roman"/>
                <w:b/>
                <w:bCs/>
                <w:i/>
                <w:iCs/>
                <w:sz w:val="20"/>
                <w:szCs w:val="20"/>
              </w:rPr>
            </w:pPr>
            <w:r>
              <w:rPr>
                <w:rFonts w:ascii="Garamond" w:hAnsi="Garamond" w:cs="Times New Roman"/>
                <w:i/>
                <w:iCs/>
                <w:sz w:val="20"/>
                <w:szCs w:val="20"/>
              </w:rPr>
              <w:t>Received:</w:t>
            </w:r>
          </w:p>
          <w:p w14:paraId="353986AE" w14:textId="77777777" w:rsidR="00DF11B2" w:rsidRDefault="00000000">
            <w:pPr>
              <w:pStyle w:val="Title"/>
              <w:spacing w:after="0"/>
              <w:rPr>
                <w:rFonts w:ascii="Garamond" w:hAnsi="Garamond" w:cs="Times New Roman"/>
                <w:b/>
                <w:bCs/>
                <w:i/>
                <w:iCs/>
                <w:sz w:val="20"/>
                <w:szCs w:val="20"/>
              </w:rPr>
            </w:pPr>
            <w:r>
              <w:rPr>
                <w:rFonts w:ascii="Garamond" w:hAnsi="Garamond" w:cs="Times New Roman"/>
                <w:sz w:val="20"/>
                <w:szCs w:val="20"/>
              </w:rPr>
              <w:t>07/12/2025</w:t>
            </w:r>
          </w:p>
          <w:p w14:paraId="7AF099EC" w14:textId="77777777" w:rsidR="00DF11B2" w:rsidRDefault="00000000">
            <w:pPr>
              <w:pStyle w:val="Title"/>
              <w:spacing w:after="0"/>
              <w:rPr>
                <w:rFonts w:ascii="Garamond" w:hAnsi="Garamond" w:cs="Times New Roman"/>
                <w:b/>
                <w:bCs/>
                <w:i/>
                <w:iCs/>
                <w:sz w:val="20"/>
                <w:szCs w:val="20"/>
              </w:rPr>
            </w:pPr>
            <w:r>
              <w:rPr>
                <w:rFonts w:ascii="Garamond" w:hAnsi="Garamond" w:cs="Times New Roman"/>
                <w:i/>
                <w:iCs/>
                <w:sz w:val="20"/>
                <w:szCs w:val="20"/>
              </w:rPr>
              <w:t>Revised:</w:t>
            </w:r>
          </w:p>
          <w:p w14:paraId="7B4DF555" w14:textId="77777777" w:rsidR="00DF11B2" w:rsidRDefault="00000000">
            <w:pPr>
              <w:pStyle w:val="Title"/>
              <w:spacing w:after="0"/>
              <w:rPr>
                <w:rFonts w:ascii="Garamond" w:hAnsi="Garamond" w:cs="Times New Roman"/>
                <w:sz w:val="20"/>
                <w:szCs w:val="20"/>
              </w:rPr>
            </w:pPr>
            <w:r>
              <w:rPr>
                <w:rFonts w:ascii="Garamond" w:hAnsi="Garamond" w:cs="Times New Roman"/>
                <w:sz w:val="20"/>
                <w:szCs w:val="20"/>
              </w:rPr>
              <w:t>11/12/2025</w:t>
            </w:r>
          </w:p>
          <w:p w14:paraId="78C9AECB" w14:textId="77777777" w:rsidR="00DF11B2" w:rsidRDefault="00000000">
            <w:pPr>
              <w:pStyle w:val="Title"/>
              <w:spacing w:after="0"/>
              <w:rPr>
                <w:rFonts w:ascii="Garamond" w:hAnsi="Garamond" w:cs="Times New Roman"/>
                <w:b/>
                <w:bCs/>
                <w:i/>
                <w:iCs/>
                <w:sz w:val="20"/>
                <w:szCs w:val="20"/>
              </w:rPr>
            </w:pPr>
            <w:r>
              <w:rPr>
                <w:rFonts w:ascii="Garamond" w:hAnsi="Garamond" w:cs="Times New Roman"/>
                <w:i/>
                <w:iCs/>
                <w:sz w:val="20"/>
                <w:szCs w:val="20"/>
              </w:rPr>
              <w:t>Accepted:</w:t>
            </w:r>
          </w:p>
          <w:p w14:paraId="6C4397C1" w14:textId="77777777" w:rsidR="00DF11B2" w:rsidRDefault="00000000">
            <w:pPr>
              <w:pStyle w:val="Title"/>
              <w:spacing w:after="0"/>
              <w:rPr>
                <w:rFonts w:ascii="Garamond" w:hAnsi="Garamond" w:cs="Times New Roman"/>
                <w:sz w:val="20"/>
                <w:szCs w:val="20"/>
              </w:rPr>
            </w:pPr>
            <w:r>
              <w:rPr>
                <w:rFonts w:ascii="Garamond" w:hAnsi="Garamond" w:cs="Times New Roman"/>
                <w:sz w:val="20"/>
                <w:szCs w:val="20"/>
              </w:rPr>
              <w:t>11/12/2025</w:t>
            </w:r>
          </w:p>
          <w:p w14:paraId="7821CA9C" w14:textId="77777777" w:rsidR="00DF11B2" w:rsidRDefault="00000000">
            <w:pPr>
              <w:pStyle w:val="Title"/>
              <w:spacing w:after="0"/>
              <w:rPr>
                <w:rFonts w:ascii="Garamond" w:hAnsi="Garamond" w:cs="Times New Roman"/>
                <w:b/>
                <w:bCs/>
                <w:i/>
                <w:iCs/>
                <w:sz w:val="20"/>
                <w:szCs w:val="20"/>
              </w:rPr>
            </w:pPr>
            <w:r>
              <w:rPr>
                <w:rFonts w:ascii="Garamond" w:hAnsi="Garamond" w:cs="Times New Roman"/>
                <w:i/>
                <w:iCs/>
                <w:sz w:val="20"/>
                <w:szCs w:val="20"/>
              </w:rPr>
              <w:t>Published:</w:t>
            </w:r>
          </w:p>
          <w:p w14:paraId="4366BA7B" w14:textId="77777777" w:rsidR="00DF11B2" w:rsidRDefault="00000000">
            <w:pPr>
              <w:spacing w:after="0" w:line="240" w:lineRule="auto"/>
              <w:rPr>
                <w:rFonts w:ascii="Garamond" w:hAnsi="Garamond"/>
              </w:rPr>
            </w:pPr>
            <w:r>
              <w:rPr>
                <w:rFonts w:ascii="Garamond" w:hAnsi="Garamond" w:cs="Times New Roman"/>
                <w:sz w:val="20"/>
                <w:szCs w:val="20"/>
              </w:rPr>
              <w:t>16/12/2025</w:t>
            </w:r>
          </w:p>
        </w:tc>
        <w:tc>
          <w:tcPr>
            <w:tcW w:w="7512" w:type="dxa"/>
            <w:tcBorders>
              <w:top w:val="single" w:sz="4" w:space="0" w:color="auto"/>
              <w:bottom w:val="single" w:sz="4" w:space="0" w:color="auto"/>
            </w:tcBorders>
            <w:shd w:val="clear" w:color="auto" w:fill="F2F2F2" w:themeFill="background1" w:themeFillShade="F2"/>
          </w:tcPr>
          <w:p w14:paraId="570CEB9B" w14:textId="77777777" w:rsidR="00DF11B2" w:rsidRDefault="00000000">
            <w:pPr>
              <w:pStyle w:val="Title"/>
              <w:spacing w:after="0"/>
              <w:jc w:val="both"/>
              <w:rPr>
                <w:rFonts w:ascii="Garamond" w:hAnsi="Garamond" w:cs="Times New Roman"/>
                <w:b/>
                <w:bCs/>
                <w:sz w:val="22"/>
                <w:szCs w:val="22"/>
              </w:rPr>
            </w:pPr>
            <w:r>
              <w:rPr>
                <w:rFonts w:ascii="Garamond" w:hAnsi="Garamond" w:cs="Times New Roman"/>
                <w:sz w:val="22"/>
                <w:szCs w:val="22"/>
              </w:rPr>
              <w:t>Despite strong international and national legal guarantees, a significant normative gap prevents the substantive fulfillment of the right to education in the remote borderlands of West Kalimantan, Indonesia. This study addresses two critical research questions: what structural, administrative, and socio-economic barriers drive local students to migrate to schools in neighboring Sarawak, Malaysia, and how can conflicting layers of law be effectively harmonized to meet local needs? Employing a qualitative-prescriptive normative juridical method, this research integrates statutory, conceptual, and comparative approaches, while utilizing the mechanism of Maqasid al-Shariah—specifically Hifdh al-'Aql (preservation of intellect)—to evaluate state governance over vulnerable populations. The findings reveal that uneven teacher distribution, severe infrastructure deficits, and centralized curriculum rigidity interact in a reinforcing cycle of inequality, forcing families to choose foreign schooling that aligns better with local socio-economic and vocational realities. To resolve this systemic friction, the study builds a multi-level, contextual framework for legal harmonization across normative, institutional, and social dimensions, advocating for differentiated fiscal allocation formulas, flexible cross-border vocational curricula, and the formal integration of traditional adat governance structures into school systems. Ultimately, this research provides a vital academic contribution to socio-legal and educational scholarship by offering a structured method to bridge the top-down normative-empirical divide, providing a practical blueprint for policymakers to secure educational equity and reinforce national resilience along international frontiers.</w:t>
            </w:r>
          </w:p>
        </w:tc>
      </w:tr>
      <w:tr w:rsidR="00DF11B2" w14:paraId="6CE441BA" w14:textId="77777777">
        <w:trPr>
          <w:jc w:val="center"/>
        </w:trPr>
        <w:tc>
          <w:tcPr>
            <w:tcW w:w="1560" w:type="dxa"/>
            <w:vMerge/>
          </w:tcPr>
          <w:p w14:paraId="0AF15D29" w14:textId="77777777" w:rsidR="00DF11B2" w:rsidRDefault="00DF11B2">
            <w:pPr>
              <w:pStyle w:val="Title"/>
              <w:spacing w:after="0"/>
              <w:rPr>
                <w:rFonts w:ascii="Garamond" w:hAnsi="Garamond" w:cs="Times New Roman"/>
                <w:sz w:val="22"/>
                <w:szCs w:val="22"/>
              </w:rPr>
            </w:pPr>
          </w:p>
        </w:tc>
        <w:tc>
          <w:tcPr>
            <w:tcW w:w="7512" w:type="dxa"/>
            <w:tcBorders>
              <w:top w:val="single" w:sz="4" w:space="0" w:color="auto"/>
              <w:bottom w:val="single" w:sz="4" w:space="0" w:color="auto"/>
            </w:tcBorders>
            <w:shd w:val="clear" w:color="auto" w:fill="FFFFFF" w:themeFill="background1"/>
          </w:tcPr>
          <w:p w14:paraId="688F9E72" w14:textId="77777777" w:rsidR="00DF11B2" w:rsidRDefault="00000000">
            <w:pPr>
              <w:shd w:val="clear" w:color="auto" w:fill="FFFFFF" w:themeFill="background1"/>
              <w:spacing w:after="0" w:line="240" w:lineRule="auto"/>
              <w:ind w:firstLine="284"/>
              <w:contextualSpacing/>
              <w:jc w:val="both"/>
              <w:rPr>
                <w:rFonts w:ascii="Garamond" w:hAnsi="Garamond" w:cs="Times New Roman"/>
                <w:b/>
                <w:bCs/>
                <w:sz w:val="20"/>
                <w:szCs w:val="20"/>
              </w:rPr>
            </w:pPr>
            <w:r>
              <w:rPr>
                <w:noProof/>
              </w:rPr>
              <w:drawing>
                <wp:anchor distT="0" distB="0" distL="114300" distR="114300" simplePos="0" relativeHeight="251659264" behindDoc="1" locked="0" layoutInCell="1" allowOverlap="1" wp14:anchorId="3A0CAB70" wp14:editId="1319AFB2">
                  <wp:simplePos x="0" y="0"/>
                  <wp:positionH relativeFrom="column">
                    <wp:posOffset>-57785</wp:posOffset>
                  </wp:positionH>
                  <wp:positionV relativeFrom="paragraph">
                    <wp:posOffset>173355</wp:posOffset>
                  </wp:positionV>
                  <wp:extent cx="710565" cy="248920"/>
                  <wp:effectExtent l="0" t="0" r="0" b="0"/>
                  <wp:wrapTight wrapText="bothSides">
                    <wp:wrapPolygon edited="0">
                      <wp:start x="0" y="0"/>
                      <wp:lineTo x="0" y="19837"/>
                      <wp:lineTo x="20847" y="19837"/>
                      <wp:lineTo x="20847" y="0"/>
                      <wp:lineTo x="0" y="0"/>
                    </wp:wrapPolygon>
                  </wp:wrapTight>
                  <wp:docPr id="1724276591" name="Gambar 8"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276591" name="Gambar 8" descr="Creative Commons Licen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710565" cy="248920"/>
                          </a:xfrm>
                          <a:prstGeom prst="rect">
                            <a:avLst/>
                          </a:prstGeom>
                          <a:noFill/>
                          <a:ln>
                            <a:noFill/>
                          </a:ln>
                        </pic:spPr>
                      </pic:pic>
                    </a:graphicData>
                  </a:graphic>
                </wp:anchor>
              </w:drawing>
            </w:r>
          </w:p>
          <w:p w14:paraId="68BE703A" w14:textId="77777777" w:rsidR="00DF11B2" w:rsidRDefault="00000000">
            <w:pPr>
              <w:pStyle w:val="Title"/>
              <w:spacing w:after="0"/>
              <w:jc w:val="both"/>
              <w:rPr>
                <w:rFonts w:ascii="Garamond" w:hAnsi="Garamond" w:cs="Times New Roman"/>
                <w:b/>
                <w:bCs/>
                <w:color w:val="0070C0"/>
                <w:sz w:val="22"/>
                <w:szCs w:val="22"/>
              </w:rPr>
            </w:pPr>
            <w:r>
              <w:rPr>
                <w:rFonts w:ascii="Garamond" w:hAnsi="Garamond" w:cs="Times New Roman"/>
                <w:sz w:val="20"/>
                <w:szCs w:val="20"/>
                <w:lang w:val="en-GB"/>
              </w:rPr>
              <w:t xml:space="preserve">This work is licensed under </w:t>
            </w:r>
            <w:r>
              <w:rPr>
                <w:rFonts w:ascii="Garamond" w:hAnsi="Garamond" w:cs="Times New Roman"/>
                <w:color w:val="0070C0"/>
                <w:sz w:val="20"/>
                <w:szCs w:val="20"/>
                <w:lang w:val="en-GB"/>
              </w:rPr>
              <w:t>a Creative Commons Attribution-ShareAlike 4.0 International (CC BY-SA 4.0)</w:t>
            </w:r>
          </w:p>
        </w:tc>
      </w:tr>
      <w:tr w:rsidR="00DF11B2" w14:paraId="4D6F1E64" w14:textId="77777777">
        <w:trPr>
          <w:jc w:val="center"/>
        </w:trPr>
        <w:tc>
          <w:tcPr>
            <w:tcW w:w="1560" w:type="dxa"/>
          </w:tcPr>
          <w:p w14:paraId="0BBA628D" w14:textId="77777777" w:rsidR="00DF11B2" w:rsidRDefault="00000000">
            <w:pPr>
              <w:pStyle w:val="Title"/>
              <w:spacing w:after="0"/>
              <w:jc w:val="center"/>
              <w:rPr>
                <w:rFonts w:ascii="Garamond" w:hAnsi="Garamond" w:cs="Times New Roman"/>
                <w:sz w:val="22"/>
                <w:szCs w:val="22"/>
              </w:rPr>
            </w:pPr>
            <w:r>
              <w:rPr>
                <w:rFonts w:ascii="Garamond" w:hAnsi="Garamond" w:cs="Times New Roman"/>
                <w:noProof/>
                <w:sz w:val="22"/>
                <w:szCs w:val="22"/>
              </w:rPr>
              <w:drawing>
                <wp:inline distT="0" distB="0" distL="0" distR="0" wp14:anchorId="5B76087E" wp14:editId="5A30B8E4">
                  <wp:extent cx="654050" cy="654050"/>
                  <wp:effectExtent l="0" t="0" r="0" b="0"/>
                  <wp:docPr id="239428815" name="Gambar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428815" name="Gambar 8"/>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54613" cy="654613"/>
                          </a:xfrm>
                          <a:prstGeom prst="rect">
                            <a:avLst/>
                          </a:prstGeom>
                          <a:noFill/>
                          <a:ln>
                            <a:noFill/>
                          </a:ln>
                        </pic:spPr>
                      </pic:pic>
                    </a:graphicData>
                  </a:graphic>
                </wp:inline>
              </w:drawing>
            </w:r>
          </w:p>
        </w:tc>
        <w:tc>
          <w:tcPr>
            <w:tcW w:w="7512" w:type="dxa"/>
            <w:tcBorders>
              <w:top w:val="single" w:sz="4" w:space="0" w:color="auto"/>
              <w:bottom w:val="single" w:sz="4" w:space="0" w:color="auto"/>
            </w:tcBorders>
            <w:shd w:val="clear" w:color="auto" w:fill="FFFFFF" w:themeFill="background1"/>
          </w:tcPr>
          <w:p w14:paraId="086376F2" w14:textId="77777777" w:rsidR="00DF11B2" w:rsidRDefault="00000000">
            <w:pPr>
              <w:shd w:val="clear" w:color="auto" w:fill="FFFFFF" w:themeFill="background1"/>
              <w:spacing w:after="0" w:line="240" w:lineRule="auto"/>
              <w:contextualSpacing/>
              <w:rPr>
                <w:rFonts w:ascii="Garamond" w:hAnsi="Garamond" w:cs="Times New Roman"/>
                <w:sz w:val="20"/>
                <w:szCs w:val="20"/>
                <w:lang w:val="id-ID" w:eastAsia="id-ID"/>
              </w:rPr>
            </w:pPr>
            <w:r>
              <w:rPr>
                <w:rFonts w:ascii="Garamond" w:hAnsi="Garamond" w:cs="Times New Roman"/>
                <w:b/>
                <w:bCs/>
                <w:sz w:val="20"/>
                <w:szCs w:val="20"/>
                <w:lang w:val="id-ID" w:eastAsia="id-ID"/>
              </w:rPr>
              <w:t xml:space="preserve">How to cite: </w:t>
            </w:r>
          </w:p>
          <w:p w14:paraId="6AD6CC79" w14:textId="77777777" w:rsidR="00DF11B2" w:rsidRDefault="00000000">
            <w:pPr>
              <w:shd w:val="clear" w:color="auto" w:fill="FFFFFF" w:themeFill="background1"/>
              <w:spacing w:after="0" w:line="240" w:lineRule="auto"/>
              <w:contextualSpacing/>
              <w:rPr>
                <w:rFonts w:ascii="Garamond" w:hAnsi="Garamond" w:cs="Times New Roman"/>
                <w:b/>
                <w:bCs/>
                <w:sz w:val="22"/>
                <w:szCs w:val="22"/>
                <w:lang w:val="id-ID" w:eastAsia="id-ID"/>
              </w:rPr>
            </w:pPr>
            <w:r>
              <w:rPr>
                <w:rFonts w:ascii="Garamond" w:hAnsi="Garamond" w:cs="Times New Roman"/>
                <w:sz w:val="20"/>
                <w:szCs w:val="20"/>
                <w:lang w:val="id-ID" w:eastAsia="id-ID"/>
              </w:rPr>
              <w:t>DOI: https://doi.org/10.54443/ijerlas.v6i1.</w:t>
            </w:r>
          </w:p>
        </w:tc>
      </w:tr>
    </w:tbl>
    <w:p w14:paraId="3AEDB37A" w14:textId="77777777" w:rsidR="00DF11B2" w:rsidRDefault="00DF11B2">
      <w:pPr>
        <w:spacing w:after="0" w:line="276" w:lineRule="auto"/>
        <w:rPr>
          <w:rFonts w:ascii="Garamond" w:hAnsi="Garamond" w:cs="Times New Roman"/>
          <w:b/>
          <w:bCs/>
          <w:color w:val="385623" w:themeColor="accent6" w:themeShade="80"/>
        </w:rPr>
      </w:pPr>
    </w:p>
    <w:p w14:paraId="4C0B1E4B" w14:textId="77777777" w:rsidR="00DF11B2" w:rsidRDefault="00000000">
      <w:pPr>
        <w:spacing w:after="0" w:line="240" w:lineRule="auto"/>
        <w:jc w:val="both"/>
        <w:rPr>
          <w:rFonts w:ascii="Garamond" w:eastAsia="Garamond" w:hAnsi="Garamond" w:cs="Garamond"/>
          <w:b/>
          <w:sz w:val="22"/>
          <w:szCs w:val="22"/>
        </w:rPr>
      </w:pPr>
      <w:r>
        <w:rPr>
          <w:rFonts w:ascii="Garamond" w:eastAsia="Garamond" w:hAnsi="Garamond" w:cs="Garamond"/>
          <w:b/>
          <w:sz w:val="22"/>
          <w:szCs w:val="22"/>
        </w:rPr>
        <w:t xml:space="preserve">Introduction </w:t>
      </w:r>
      <w:r>
        <w:rPr>
          <w:rFonts w:ascii="Garamond" w:eastAsia="Garamond" w:hAnsi="Garamond" w:cs="Garamond"/>
          <w:sz w:val="22"/>
          <w:szCs w:val="22"/>
        </w:rPr>
        <w:t>(First subtitle; bold in first capital letters)</w:t>
      </w:r>
    </w:p>
    <w:p w14:paraId="61960E51" w14:textId="6835849D" w:rsidR="00DF11B2" w:rsidRDefault="00000000">
      <w:pPr>
        <w:spacing w:after="0" w:line="240" w:lineRule="auto"/>
        <w:ind w:firstLine="340"/>
        <w:jc w:val="both"/>
        <w:rPr>
          <w:rFonts w:ascii="Garamond" w:eastAsia="Garamond" w:hAnsi="Garamond" w:cs="Garamond"/>
          <w:sz w:val="22"/>
          <w:szCs w:val="22"/>
        </w:rPr>
      </w:pPr>
      <w:r>
        <w:rPr>
          <w:rFonts w:ascii="Garamond" w:eastAsia="Garamond" w:hAnsi="Garamond" w:cs="Garamond"/>
          <w:sz w:val="22"/>
          <w:szCs w:val="22"/>
        </w:rPr>
        <w:t>The right to education is universally recognized as a fundamental human right and serves as the foundation for the realization of other social rights. Within the international human rights framework, education is positioned not merely as a policy objective but as a binding legal obligation of states. International legal instruments, particularly the International Covenant on Economic, Social and Cultural Rights (ICESCR), clearly articulate this obligation. The ICESCR requires that education be accessible, acceptable, available, and adaptable for all individuals without discrimination.</w:t>
      </w:r>
      <w:r w:rsidR="00495D42">
        <w:rPr>
          <w:rStyle w:val="FootnoteReference"/>
          <w:rFonts w:ascii="Garamond" w:eastAsia="Garamond" w:hAnsi="Garamond" w:cs="Garamond"/>
          <w:sz w:val="22"/>
          <w:szCs w:val="22"/>
        </w:rPr>
        <w:footnoteReference w:id="1"/>
      </w:r>
      <w:r>
        <w:rPr>
          <w:rFonts w:ascii="Garamond" w:eastAsia="Garamond" w:hAnsi="Garamond" w:cs="Garamond"/>
          <w:sz w:val="22"/>
          <w:szCs w:val="22"/>
        </w:rPr>
        <w:t xml:space="preserve"> These principles establish education as a core element of human dignity and social justice. Indonesia has formally committed itself to these international obligations through the ratification of the ICESCR under Law No. 11 of 2005. This commitment is constitutionally reinforced by Article 31 of the 1945 Constitution, which guarantees the right to education for all citizens. Normatively, this framework reflects Indonesia’s responsibility to ensure equal educational access across its entire territory, extending from urban centers to remote and border </w:t>
      </w:r>
      <w:r>
        <w:rPr>
          <w:rFonts w:ascii="Garamond" w:eastAsia="Garamond" w:hAnsi="Garamond" w:cs="Garamond"/>
          <w:sz w:val="22"/>
          <w:szCs w:val="22"/>
        </w:rPr>
        <w:lastRenderedPageBreak/>
        <w:t>regions. At the statutory level, Law No. 20 of 2003 concerning the National Education System provides the framework to implement this right. In theory, these multiple layers of legal guarantees should eliminate disparities and ensure that all children enjoy equal access to quality education.</w:t>
      </w:r>
    </w:p>
    <w:p w14:paraId="54B028EB" w14:textId="148A2DDF" w:rsidR="00DF11B2" w:rsidRDefault="00000000">
      <w:pPr>
        <w:spacing w:after="0" w:line="240" w:lineRule="auto"/>
        <w:ind w:firstLine="340"/>
        <w:jc w:val="both"/>
        <w:rPr>
          <w:rFonts w:ascii="Garamond" w:eastAsia="Garamond" w:hAnsi="Garamond" w:cs="Garamond"/>
          <w:sz w:val="22"/>
          <w:szCs w:val="22"/>
        </w:rPr>
      </w:pPr>
      <w:r>
        <w:rPr>
          <w:rFonts w:ascii="Garamond" w:eastAsia="Garamond" w:hAnsi="Garamond" w:cs="Garamond"/>
          <w:sz w:val="22"/>
          <w:szCs w:val="22"/>
        </w:rPr>
        <w:t>Despite this strong normative framework, the empirical implementation of the right to education in border regions remains highly problematic, creating a persistent normative gap (das sollen versus das sein). West Kalimantan’s border areas present a clear example of this challenge, where field studies consistently show inadequate school infrastructure and limited educational facilities. The issue of school availability is one of the clearest indicators of this gap. While the ICESCR requires primary and secondary education to be progressively available, border regions still face acute shortages. In Kapuas Hulu, the subdistricts of Puring Kencana and Empanang do not have a single high school.</w:t>
      </w:r>
      <w:r w:rsidR="00495D42">
        <w:rPr>
          <w:rStyle w:val="FootnoteReference"/>
          <w:rFonts w:ascii="Garamond" w:eastAsia="Garamond" w:hAnsi="Garamond" w:cs="Garamond"/>
          <w:sz w:val="22"/>
          <w:szCs w:val="22"/>
        </w:rPr>
        <w:footnoteReference w:id="2"/>
      </w:r>
      <w:r>
        <w:rPr>
          <w:rFonts w:ascii="Garamond" w:eastAsia="Garamond" w:hAnsi="Garamond" w:cs="Garamond"/>
          <w:sz w:val="22"/>
          <w:szCs w:val="22"/>
        </w:rPr>
        <w:t xml:space="preserve"> Students must travel more than 55 kilometers to reach the nearest senior high school in Badau or Putussibau, navigating dangerous, poorly maintained roads. These journeys impose severe physical and financial burdens on economically struggling families, forcing many children to abandon their studies after completing junior secondary education.</w:t>
      </w:r>
      <w:r w:rsidR="00495D42">
        <w:rPr>
          <w:rStyle w:val="FootnoteReference"/>
          <w:rFonts w:ascii="Garamond" w:eastAsia="Garamond" w:hAnsi="Garamond" w:cs="Garamond"/>
          <w:sz w:val="22"/>
          <w:szCs w:val="22"/>
        </w:rPr>
        <w:footnoteReference w:id="3"/>
      </w:r>
    </w:p>
    <w:p w14:paraId="051EA401" w14:textId="20462BFD" w:rsidR="00DF11B2" w:rsidRDefault="00000000">
      <w:pPr>
        <w:spacing w:after="0" w:line="240" w:lineRule="auto"/>
        <w:ind w:firstLine="340"/>
        <w:jc w:val="both"/>
        <w:rPr>
          <w:rFonts w:ascii="Garamond" w:eastAsia="Garamond" w:hAnsi="Garamond" w:cs="Garamond"/>
          <w:sz w:val="22"/>
          <w:szCs w:val="22"/>
        </w:rPr>
      </w:pPr>
      <w:r>
        <w:rPr>
          <w:rFonts w:ascii="Garamond" w:eastAsia="Garamond" w:hAnsi="Garamond" w:cs="Garamond"/>
          <w:sz w:val="22"/>
          <w:szCs w:val="22"/>
        </w:rPr>
        <w:t>Equally concerning is the condition of existing schools. In Lubuk Sauk, Sanggau District, one primary school accommodates six classes in three small rooms divided only by thin plywood partitions, disrupting concentration and undermining teaching quality.</w:t>
      </w:r>
      <w:r w:rsidR="00495D42">
        <w:rPr>
          <w:rStyle w:val="FootnoteReference"/>
          <w:rFonts w:ascii="Garamond" w:eastAsia="Garamond" w:hAnsi="Garamond" w:cs="Garamond"/>
          <w:sz w:val="22"/>
          <w:szCs w:val="22"/>
        </w:rPr>
        <w:footnoteReference w:id="4"/>
      </w:r>
      <w:r>
        <w:rPr>
          <w:rFonts w:ascii="Garamond" w:eastAsia="Garamond" w:hAnsi="Garamond" w:cs="Garamond"/>
          <w:sz w:val="22"/>
          <w:szCs w:val="22"/>
        </w:rPr>
        <w:t xml:space="preserve"> Similar cases in Sajingan Besar involve semi-permanent buildings with limited facilities that compromise learning. The physical state of these schools is far removed from the standards of human dignity implied in the ICESCR’s requirement of acceptability. UNESCO and the World Bank emphasize that poor facilities, overcrowding, and inadequate sanitation are major barriers to fulfilling the right to education, yet these conditions persist widely in border areas. Beyond availability, physical and economic accessibility remains a major obstacle.</w:t>
      </w:r>
      <w:r w:rsidR="00495D42">
        <w:rPr>
          <w:rStyle w:val="FootnoteReference"/>
          <w:rFonts w:ascii="Garamond" w:eastAsia="Garamond" w:hAnsi="Garamond" w:cs="Garamond"/>
          <w:sz w:val="22"/>
          <w:szCs w:val="22"/>
        </w:rPr>
        <w:footnoteReference w:id="5"/>
      </w:r>
      <w:r>
        <w:rPr>
          <w:rFonts w:ascii="Garamond" w:eastAsia="Garamond" w:hAnsi="Garamond" w:cs="Garamond"/>
          <w:sz w:val="22"/>
          <w:szCs w:val="22"/>
        </w:rPr>
        <w:t xml:space="preserve"> In Entikong and Sajingan Besar, students face long daily commutes, walking seven to ten kilometers, while others must rent boarding houses or live with relatives. Hidden costs like uniforms, textbooks, and transport make education economically inaccessible for border communities despite state claims of free schooling.</w:t>
      </w:r>
      <w:r w:rsidR="00495D42">
        <w:rPr>
          <w:rStyle w:val="FootnoteReference"/>
          <w:rFonts w:ascii="Garamond" w:eastAsia="Garamond" w:hAnsi="Garamond" w:cs="Garamond"/>
          <w:sz w:val="22"/>
          <w:szCs w:val="22"/>
        </w:rPr>
        <w:footnoteReference w:id="6"/>
      </w:r>
    </w:p>
    <w:p w14:paraId="03866BAC" w14:textId="19CFDB83" w:rsidR="00DF11B2" w:rsidRDefault="00000000">
      <w:pPr>
        <w:spacing w:after="0" w:line="240" w:lineRule="auto"/>
        <w:ind w:firstLine="340"/>
        <w:jc w:val="both"/>
        <w:rPr>
          <w:rFonts w:ascii="Garamond" w:eastAsia="Garamond" w:hAnsi="Garamond" w:cs="Garamond"/>
          <w:sz w:val="22"/>
          <w:szCs w:val="22"/>
        </w:rPr>
      </w:pPr>
      <w:r>
        <w:rPr>
          <w:rFonts w:ascii="Garamond" w:eastAsia="Garamond" w:hAnsi="Garamond" w:cs="Garamond"/>
          <w:sz w:val="22"/>
          <w:szCs w:val="22"/>
        </w:rPr>
        <w:t>Infrastructural limitations are worsened by shortages of qualified teachers, which further undermine educational acceptability. Geographic isolation makes teacher distribution uneven and retention difficult. In some border schools, honorary teachers outnumber permanent ones; many lack university degrees and receive salaries far below the regional minimum wage.</w:t>
      </w:r>
      <w:r w:rsidR="00495D42">
        <w:rPr>
          <w:rStyle w:val="FootnoteReference"/>
          <w:rFonts w:ascii="Garamond" w:eastAsia="Garamond" w:hAnsi="Garamond" w:cs="Garamond"/>
          <w:sz w:val="22"/>
          <w:szCs w:val="22"/>
        </w:rPr>
        <w:footnoteReference w:id="7"/>
      </w:r>
      <w:r>
        <w:rPr>
          <w:rFonts w:ascii="Garamond" w:eastAsia="Garamond" w:hAnsi="Garamond" w:cs="Garamond"/>
          <w:sz w:val="22"/>
          <w:szCs w:val="22"/>
        </w:rPr>
        <w:t xml:space="preserve"> Without professional development opportunities, instruction quality remains stagnant, directly contradicting the ICESCR requirement that education must be directed toward the full development of the human personality.</w:t>
      </w:r>
      <w:r w:rsidR="008F0301">
        <w:rPr>
          <w:rStyle w:val="FootnoteReference"/>
          <w:rFonts w:ascii="Garamond" w:eastAsia="Garamond" w:hAnsi="Garamond" w:cs="Garamond"/>
          <w:sz w:val="22"/>
          <w:szCs w:val="22"/>
        </w:rPr>
        <w:footnoteReference w:id="8"/>
      </w:r>
      <w:r>
        <w:rPr>
          <w:rFonts w:ascii="Garamond" w:eastAsia="Garamond" w:hAnsi="Garamond" w:cs="Garamond"/>
          <w:sz w:val="22"/>
          <w:szCs w:val="22"/>
        </w:rPr>
        <w:t xml:space="preserve"> Furthermore, the centralized curriculum lacks adaptability, failing to account for local socio-cultural realities. This structural rigidness alienates border students whose daily lives revolve around agriculture, fisheries, and cross-border trade.</w:t>
      </w:r>
      <w:r w:rsidR="008F0301">
        <w:rPr>
          <w:rStyle w:val="FootnoteReference"/>
          <w:rFonts w:ascii="Garamond" w:eastAsia="Garamond" w:hAnsi="Garamond" w:cs="Garamond"/>
          <w:sz w:val="22"/>
          <w:szCs w:val="22"/>
        </w:rPr>
        <w:footnoteReference w:id="9"/>
      </w:r>
    </w:p>
    <w:p w14:paraId="56DD4687" w14:textId="0C7F9569" w:rsidR="00DF11B2" w:rsidRDefault="00000000">
      <w:pPr>
        <w:spacing w:after="0" w:line="240" w:lineRule="auto"/>
        <w:ind w:firstLine="340"/>
        <w:jc w:val="both"/>
        <w:rPr>
          <w:rFonts w:ascii="Garamond" w:eastAsia="Garamond" w:hAnsi="Garamond" w:cs="Garamond"/>
          <w:sz w:val="22"/>
          <w:szCs w:val="22"/>
        </w:rPr>
      </w:pPr>
      <w:r>
        <w:rPr>
          <w:rFonts w:ascii="Garamond" w:eastAsia="Garamond" w:hAnsi="Garamond" w:cs="Garamond"/>
          <w:sz w:val="22"/>
          <w:szCs w:val="22"/>
        </w:rPr>
        <w:t>Consequently, educational inequality persists despite formal legal guarantees, weakening the realization of rights at the local level and driving the migration of students across national borders. Many parents in Sambas, Bengkayang, and Kapuas Hulu send their children to schools in neighboring Sarawak, Malaysia. Malaysian schools are perceived as more responsive to local needs, offering better facilities, dormitories, free uniforms, small allowances, and integrated vocational training that aligns with the regional labor market.</w:t>
      </w:r>
      <w:r w:rsidR="00EF544D">
        <w:rPr>
          <w:rStyle w:val="FootnoteReference"/>
          <w:rFonts w:ascii="Garamond" w:eastAsia="Garamond" w:hAnsi="Garamond" w:cs="Garamond"/>
          <w:sz w:val="22"/>
          <w:szCs w:val="22"/>
        </w:rPr>
        <w:footnoteReference w:id="10"/>
      </w:r>
      <w:r>
        <w:rPr>
          <w:rFonts w:ascii="Garamond" w:eastAsia="Garamond" w:hAnsi="Garamond" w:cs="Garamond"/>
          <w:sz w:val="22"/>
          <w:szCs w:val="22"/>
        </w:rPr>
        <w:t xml:space="preserve"> This trend of cross-border schooling highlights a structural failure in fulfilling educational rights within Indonesia’s jurisdiction, revealing a disconnect between national sovereignty and social welfare provision.</w:t>
      </w:r>
      <w:r w:rsidR="00EF544D" w:rsidRPr="00EF544D">
        <w:rPr>
          <w:rStyle w:val="FootnoteReference"/>
          <w:rFonts w:ascii="Garamond" w:eastAsia="Garamond" w:hAnsi="Garamond" w:cs="Garamond"/>
          <w:sz w:val="22"/>
          <w:szCs w:val="22"/>
        </w:rPr>
        <w:t xml:space="preserve"> </w:t>
      </w:r>
      <w:r w:rsidR="00EF544D">
        <w:rPr>
          <w:rStyle w:val="FootnoteReference"/>
          <w:rFonts w:ascii="Garamond" w:eastAsia="Garamond" w:hAnsi="Garamond" w:cs="Garamond"/>
          <w:sz w:val="22"/>
          <w:szCs w:val="22"/>
        </w:rPr>
        <w:footnoteReference w:id="11"/>
      </w:r>
      <w:r>
        <w:rPr>
          <w:rFonts w:ascii="Garamond" w:eastAsia="Garamond" w:hAnsi="Garamond" w:cs="Garamond"/>
          <w:sz w:val="22"/>
          <w:szCs w:val="22"/>
        </w:rPr>
        <w:t xml:space="preserve"> Over time, this migration can weaken national identity among younger generations who become more accustomed to Malaysian curricula and values, eroding civic attachment and creating dependency on a neighboring state.</w:t>
      </w:r>
      <w:r w:rsidR="00EF544D">
        <w:rPr>
          <w:rStyle w:val="FootnoteReference"/>
          <w:rFonts w:ascii="Garamond" w:eastAsia="Garamond" w:hAnsi="Garamond" w:cs="Garamond"/>
          <w:sz w:val="22"/>
          <w:szCs w:val="22"/>
        </w:rPr>
        <w:footnoteReference w:id="12"/>
      </w:r>
    </w:p>
    <w:p w14:paraId="01E786DB" w14:textId="6505785C" w:rsidR="00DF11B2" w:rsidRDefault="00000000">
      <w:pPr>
        <w:spacing w:after="0" w:line="240" w:lineRule="auto"/>
        <w:ind w:firstLine="340"/>
        <w:jc w:val="both"/>
        <w:rPr>
          <w:rFonts w:ascii="Garamond" w:eastAsia="Garamond" w:hAnsi="Garamond" w:cs="Garamond"/>
          <w:sz w:val="22"/>
          <w:szCs w:val="22"/>
        </w:rPr>
      </w:pPr>
      <w:r>
        <w:rPr>
          <w:rFonts w:ascii="Garamond" w:eastAsia="Garamond" w:hAnsi="Garamond" w:cs="Garamond"/>
          <w:sz w:val="22"/>
          <w:szCs w:val="22"/>
        </w:rPr>
        <w:t>This systemic failure reflects deep weaknesses in governance and policy implementation under decentralization. Although Indonesia devolved education responsibilities to local governments, many border districts lack the financial and administrative capacity to fulfill these duties, resulting in fragmented implementation and widening disparities between urban and peripheral regions.</w:t>
      </w:r>
      <w:r w:rsidR="00EC5D73">
        <w:rPr>
          <w:rStyle w:val="FootnoteReference"/>
          <w:rFonts w:ascii="Garamond" w:eastAsia="Garamond" w:hAnsi="Garamond" w:cs="Garamond"/>
          <w:sz w:val="22"/>
          <w:szCs w:val="22"/>
        </w:rPr>
        <w:footnoteReference w:id="13"/>
      </w:r>
      <w:r>
        <w:rPr>
          <w:rFonts w:ascii="Garamond" w:eastAsia="Garamond" w:hAnsi="Garamond" w:cs="Garamond"/>
          <w:sz w:val="22"/>
          <w:szCs w:val="22"/>
        </w:rPr>
        <w:t xml:space="preserve"> Satjipto Rahardjo’s</w:t>
      </w:r>
      <w:r w:rsidR="008F0301">
        <w:rPr>
          <w:rStyle w:val="FootnoteReference"/>
          <w:rFonts w:ascii="Garamond" w:eastAsia="Garamond" w:hAnsi="Garamond" w:cs="Garamond"/>
          <w:sz w:val="22"/>
          <w:szCs w:val="22"/>
        </w:rPr>
        <w:footnoteReference w:id="14"/>
      </w:r>
      <w:r>
        <w:rPr>
          <w:rFonts w:ascii="Garamond" w:eastAsia="Garamond" w:hAnsi="Garamond" w:cs="Garamond"/>
          <w:sz w:val="22"/>
          <w:szCs w:val="22"/>
        </w:rPr>
        <w:t xml:space="preserve"> theory of progressive law emphasizes that law should not merely exist as static text but should serve as an instrument of social engineering, shaping reality to achieve justice. In border education, the law remains detached from social realities, existing only at the normative level while the actual right to education remains unfulfilled.</w:t>
      </w:r>
    </w:p>
    <w:p w14:paraId="2A2D42EC" w14:textId="59493CA5" w:rsidR="00DF11B2" w:rsidRDefault="00000000">
      <w:pPr>
        <w:spacing w:after="0" w:line="240" w:lineRule="auto"/>
        <w:ind w:firstLine="340"/>
        <w:jc w:val="both"/>
        <w:rPr>
          <w:rFonts w:ascii="Garamond" w:eastAsia="Garamond" w:hAnsi="Garamond" w:cs="Garamond"/>
          <w:sz w:val="22"/>
          <w:szCs w:val="22"/>
        </w:rPr>
      </w:pPr>
      <w:r>
        <w:rPr>
          <w:rFonts w:ascii="Garamond" w:eastAsia="Garamond" w:hAnsi="Garamond" w:cs="Garamond"/>
          <w:sz w:val="22"/>
          <w:szCs w:val="22"/>
        </w:rPr>
        <w:t>Academic and policy approaches, such as decentralization reforms or culturally integrative pedagogical models, have attempted to address these disparities.</w:t>
      </w:r>
      <w:r w:rsidR="00257851">
        <w:rPr>
          <w:rStyle w:val="FootnoteReference"/>
          <w:rFonts w:ascii="Garamond" w:eastAsia="Garamond" w:hAnsi="Garamond" w:cs="Garamond"/>
          <w:sz w:val="22"/>
          <w:szCs w:val="22"/>
        </w:rPr>
        <w:footnoteReference w:id="15"/>
      </w:r>
      <w:r>
        <w:rPr>
          <w:rFonts w:ascii="Garamond" w:eastAsia="Garamond" w:hAnsi="Garamond" w:cs="Garamond"/>
          <w:sz w:val="22"/>
          <w:szCs w:val="22"/>
        </w:rPr>
        <w:t xml:space="preserve"> However, decentralization has often intensified regional inequality due to fiscal imbalances, while culturally integrative models focus primarily on learning processes without addressing structural legal and institutional inequalities.</w:t>
      </w:r>
      <w:r w:rsidR="00257851">
        <w:rPr>
          <w:rStyle w:val="FootnoteReference"/>
          <w:rFonts w:ascii="Garamond" w:eastAsia="Garamond" w:hAnsi="Garamond" w:cs="Garamond"/>
          <w:sz w:val="22"/>
          <w:szCs w:val="22"/>
        </w:rPr>
        <w:footnoteReference w:id="16"/>
      </w:r>
    </w:p>
    <w:p w14:paraId="256D1687" w14:textId="77777777" w:rsidR="00DF11B2" w:rsidRDefault="00000000">
      <w:pPr>
        <w:spacing w:after="0" w:line="240" w:lineRule="auto"/>
        <w:ind w:firstLine="340"/>
        <w:jc w:val="both"/>
        <w:rPr>
          <w:rFonts w:ascii="Garamond" w:eastAsia="Garamond" w:hAnsi="Garamond" w:cs="Garamond"/>
          <w:sz w:val="22"/>
          <w:szCs w:val="22"/>
        </w:rPr>
      </w:pPr>
      <w:r>
        <w:rPr>
          <w:rFonts w:ascii="Garamond" w:eastAsia="Garamond" w:hAnsi="Garamond" w:cs="Garamond"/>
          <w:sz w:val="22"/>
          <w:szCs w:val="22"/>
        </w:rPr>
        <w:t>This research frames the urgency of Fulfilling Education Rights in West Kalimantan Borderlands: Legal Harmonization and Local Realities. This approach seeks to synthesize international human rights obligations, national education law, and local social conditions. Its novelty lies in integrating top-down legal commitments with bottom-up community realities, addressing how this specific framework of legal harmonization and local realities can bridge the normative–empirical divide. Ultimately, this study contributes to both legal scholarship and practical policy, moving law from static text to living practice to achieve substantive educational equity in border regions.</w:t>
      </w:r>
    </w:p>
    <w:p w14:paraId="65060BC3" w14:textId="77777777" w:rsidR="00DF11B2" w:rsidRDefault="00DF11B2">
      <w:pPr>
        <w:spacing w:after="0" w:line="240" w:lineRule="auto"/>
        <w:ind w:firstLine="340"/>
        <w:jc w:val="both"/>
        <w:rPr>
          <w:rFonts w:ascii="Garamond" w:eastAsia="Garamond" w:hAnsi="Garamond" w:cs="Garamond"/>
          <w:sz w:val="22"/>
          <w:szCs w:val="22"/>
        </w:rPr>
      </w:pPr>
    </w:p>
    <w:p w14:paraId="33FE260F" w14:textId="77777777" w:rsidR="00DF11B2" w:rsidRDefault="00000000">
      <w:pPr>
        <w:pStyle w:val="NoSpacing"/>
        <w:jc w:val="both"/>
        <w:rPr>
          <w:rFonts w:ascii="Garamond" w:hAnsi="Garamond"/>
          <w:b/>
          <w:bCs/>
          <w:lang w:val="en-US"/>
        </w:rPr>
      </w:pPr>
      <w:r>
        <w:rPr>
          <w:rFonts w:ascii="Garamond" w:hAnsi="Garamond"/>
          <w:b/>
          <w:bCs/>
          <w:lang w:val="en-US"/>
        </w:rPr>
        <w:t>Method</w:t>
      </w:r>
    </w:p>
    <w:p w14:paraId="3806EEB5" w14:textId="78BCE687" w:rsidR="00DF11B2" w:rsidRDefault="00000000">
      <w:pPr>
        <w:spacing w:after="0" w:line="240" w:lineRule="auto"/>
        <w:ind w:firstLine="340"/>
        <w:jc w:val="both"/>
        <w:rPr>
          <w:rFonts w:ascii="Garamond" w:hAnsi="Garamond"/>
          <w:b/>
          <w:bCs/>
          <w:spacing w:val="-6"/>
          <w:sz w:val="22"/>
          <w:szCs w:val="22"/>
        </w:rPr>
      </w:pPr>
      <w:r>
        <w:rPr>
          <w:rFonts w:ascii="Garamond" w:hAnsi="Garamond"/>
          <w:spacing w:val="-6"/>
          <w:sz w:val="22"/>
          <w:szCs w:val="22"/>
        </w:rPr>
        <w:t>Employing a normative juridical method,</w:t>
      </w:r>
      <w:r w:rsidR="00532ECD">
        <w:rPr>
          <w:rStyle w:val="FootnoteReference"/>
          <w:rFonts w:ascii="Garamond" w:hAnsi="Garamond"/>
          <w:spacing w:val="-6"/>
          <w:sz w:val="22"/>
          <w:szCs w:val="22"/>
        </w:rPr>
        <w:footnoteReference w:id="17"/>
      </w:r>
      <w:r>
        <w:rPr>
          <w:rFonts w:ascii="Garamond" w:hAnsi="Garamond"/>
          <w:spacing w:val="-6"/>
          <w:sz w:val="22"/>
          <w:szCs w:val="22"/>
        </w:rPr>
        <w:t xml:space="preserve"> this research examines international treaties, constitutional norms, statutory regulations, and secondary legal materials, including progressive legal scholarship and comparative legal studies, to analyze the structural barriers to education in the West Kalimantan borderlands. This qualitative-prescriptive study integrates a statutory approach,</w:t>
      </w:r>
      <w:r w:rsidR="00532ECD">
        <w:rPr>
          <w:rStyle w:val="FootnoteReference"/>
          <w:rFonts w:ascii="Garamond" w:hAnsi="Garamond"/>
          <w:spacing w:val="-6"/>
          <w:sz w:val="22"/>
          <w:szCs w:val="22"/>
        </w:rPr>
        <w:footnoteReference w:id="18"/>
      </w:r>
      <w:r>
        <w:rPr>
          <w:rFonts w:ascii="Garamond" w:hAnsi="Garamond"/>
          <w:spacing w:val="-6"/>
          <w:sz w:val="22"/>
          <w:szCs w:val="22"/>
        </w:rPr>
        <w:t xml:space="preserve"> a conceptual approach, and a comparative legal approach to evaluate the normative gap between state obligations and local social realities. The data source consists entirely of secondary legal materials, comprising primary legal instruments</w:t>
      </w:r>
      <w:r w:rsidR="00532ECD">
        <w:rPr>
          <w:rStyle w:val="FootnoteReference"/>
          <w:rFonts w:ascii="Garamond" w:hAnsi="Garamond"/>
          <w:spacing w:val="-6"/>
          <w:sz w:val="22"/>
          <w:szCs w:val="22"/>
        </w:rPr>
        <w:footnoteReference w:id="19"/>
      </w:r>
      <w:r>
        <w:rPr>
          <w:rFonts w:ascii="Garamond" w:hAnsi="Garamond"/>
          <w:spacing w:val="-6"/>
          <w:sz w:val="22"/>
          <w:szCs w:val="22"/>
        </w:rPr>
        <w:t xml:space="preserve"> such as the ICESCR and Article 31 of the 1945 Constitution, alongside secondary and tertiary academic literature. To address relevant sharia issues within the region's socio-cultural context, the analysis incorporates the mechanism of Maqasid al-Shariah, specifically evaluating state governance through the lens of </w:t>
      </w:r>
      <w:r w:rsidRPr="00532ECD">
        <w:rPr>
          <w:rFonts w:ascii="Garamond" w:hAnsi="Garamond"/>
          <w:i/>
          <w:iCs/>
          <w:spacing w:val="-6"/>
          <w:sz w:val="22"/>
          <w:szCs w:val="22"/>
        </w:rPr>
        <w:t>Hifdh al-'Aql</w:t>
      </w:r>
      <w:r>
        <w:rPr>
          <w:rFonts w:ascii="Garamond" w:hAnsi="Garamond"/>
          <w:spacing w:val="-6"/>
          <w:sz w:val="22"/>
          <w:szCs w:val="22"/>
        </w:rPr>
        <w:t xml:space="preserve"> (the preservation of intellect) and the Islamic legal maxim that governance must be bound by public interest (</w:t>
      </w:r>
      <w:r w:rsidRPr="00532ECD">
        <w:rPr>
          <w:rFonts w:ascii="Garamond" w:hAnsi="Garamond"/>
          <w:i/>
          <w:iCs/>
          <w:spacing w:val="-6"/>
          <w:sz w:val="22"/>
          <w:szCs w:val="22"/>
        </w:rPr>
        <w:t>maslahah</w:t>
      </w:r>
      <w:r>
        <w:rPr>
          <w:rFonts w:ascii="Garamond" w:hAnsi="Garamond"/>
          <w:spacing w:val="-6"/>
          <w:sz w:val="22"/>
          <w:szCs w:val="22"/>
        </w:rPr>
        <w:t>), thereby demonstrating how legal harmonization can substantively resolve systemic educational disparities.</w:t>
      </w:r>
    </w:p>
    <w:p w14:paraId="7D0066BF" w14:textId="77777777" w:rsidR="00DF11B2" w:rsidRDefault="00DF11B2">
      <w:pPr>
        <w:spacing w:after="0" w:line="240" w:lineRule="auto"/>
        <w:ind w:firstLine="340"/>
        <w:jc w:val="both"/>
        <w:rPr>
          <w:rFonts w:ascii="Garamond" w:hAnsi="Garamond"/>
          <w:spacing w:val="-6"/>
          <w:sz w:val="22"/>
          <w:szCs w:val="22"/>
        </w:rPr>
      </w:pPr>
    </w:p>
    <w:p w14:paraId="1372BB27" w14:textId="77777777" w:rsidR="00DF11B2" w:rsidRDefault="00000000">
      <w:pPr>
        <w:pStyle w:val="NoSpacing"/>
        <w:jc w:val="both"/>
        <w:rPr>
          <w:rFonts w:ascii="Garamond" w:hAnsi="Garamond"/>
          <w:b/>
          <w:bCs/>
          <w:lang w:val="en-US"/>
        </w:rPr>
      </w:pPr>
      <w:r>
        <w:rPr>
          <w:rFonts w:ascii="Garamond" w:hAnsi="Garamond"/>
          <w:b/>
          <w:bCs/>
          <w:lang w:val="en-US"/>
        </w:rPr>
        <w:t xml:space="preserve">Results </w:t>
      </w:r>
      <w:r>
        <w:rPr>
          <w:rFonts w:ascii="Garamond" w:hAnsi="Garamond"/>
          <w:b/>
          <w:bCs/>
        </w:rPr>
        <w:t>a</w:t>
      </w:r>
      <w:r>
        <w:rPr>
          <w:rFonts w:ascii="Garamond" w:hAnsi="Garamond"/>
          <w:b/>
          <w:bCs/>
          <w:lang w:val="en-US"/>
        </w:rPr>
        <w:t>nd Discussion</w:t>
      </w:r>
    </w:p>
    <w:p w14:paraId="3382941F" w14:textId="77777777" w:rsidR="00DF11B2" w:rsidRDefault="00000000">
      <w:pPr>
        <w:spacing w:after="0" w:line="240" w:lineRule="auto"/>
        <w:jc w:val="both"/>
        <w:rPr>
          <w:rFonts w:ascii="Garamond" w:hAnsi="Garamond"/>
          <w:b/>
          <w:bCs/>
          <w:spacing w:val="-6"/>
          <w:sz w:val="22"/>
          <w:szCs w:val="22"/>
        </w:rPr>
      </w:pPr>
      <w:r>
        <w:rPr>
          <w:rFonts w:ascii="Garamond" w:hAnsi="Garamond"/>
          <w:b/>
          <w:bCs/>
          <w:spacing w:val="-6"/>
          <w:sz w:val="22"/>
          <w:szCs w:val="22"/>
        </w:rPr>
        <w:t>Structural, Decentralization, and Socio-Economic Barriers in Border Education</w:t>
      </w:r>
    </w:p>
    <w:p w14:paraId="337931A5" w14:textId="49A1E2FB" w:rsidR="00DF11B2" w:rsidRDefault="00000000">
      <w:pPr>
        <w:spacing w:after="0" w:line="240" w:lineRule="auto"/>
        <w:ind w:firstLineChars="329" w:firstLine="724"/>
        <w:jc w:val="both"/>
        <w:rPr>
          <w:rFonts w:ascii="Garamond" w:hAnsi="Garamond" w:cs="Garamond"/>
          <w:sz w:val="22"/>
          <w:szCs w:val="22"/>
        </w:rPr>
      </w:pPr>
      <w:r>
        <w:rPr>
          <w:rFonts w:ascii="Garamond" w:hAnsi="Garamond" w:cs="Garamond"/>
          <w:sz w:val="22"/>
          <w:szCs w:val="22"/>
        </w:rPr>
        <w:t>The fulfillment of the right to education in Indonesia’s border regions is not only undermined by the normative gap between international commitments and local realities but is also constrained by structural weaknesses, the complexities of decentralization, and entrenched socio-economic disparities. These barriers interact in a mutually reinforcing cycle, perpetuating educational inequality and leaving border communities marginalized.</w:t>
      </w:r>
      <w:r w:rsidR="00495D42">
        <w:rPr>
          <w:rStyle w:val="FootnoteReference"/>
          <w:rFonts w:ascii="Garamond" w:hAnsi="Garamond" w:cs="Garamond"/>
          <w:sz w:val="22"/>
          <w:szCs w:val="22"/>
        </w:rPr>
        <w:footnoteReference w:id="20"/>
      </w:r>
      <w:r>
        <w:rPr>
          <w:rFonts w:ascii="Garamond" w:hAnsi="Garamond" w:cs="Garamond"/>
          <w:sz w:val="22"/>
          <w:szCs w:val="22"/>
        </w:rPr>
        <w:t xml:space="preserve"> The analysis of these interrelated factors reveals that the challenges of education in West Kalimantan’s border districts cannot be resolved merely by legal frameworks or policy declarations. Instead, they require systemic reform that addresses structural deficiencies, strengthens local governance, and alleviates socio-economic hardships.</w:t>
      </w:r>
      <w:r w:rsidR="00495D42">
        <w:rPr>
          <w:rStyle w:val="FootnoteReference"/>
          <w:rFonts w:ascii="Garamond" w:hAnsi="Garamond" w:cs="Garamond"/>
          <w:sz w:val="22"/>
          <w:szCs w:val="22"/>
        </w:rPr>
        <w:footnoteReference w:id="21"/>
      </w:r>
    </w:p>
    <w:p w14:paraId="4B724C40" w14:textId="6B496D20" w:rsidR="00DF11B2" w:rsidRDefault="00000000">
      <w:pPr>
        <w:spacing w:after="0" w:line="240" w:lineRule="auto"/>
        <w:ind w:firstLineChars="329" w:firstLine="724"/>
        <w:jc w:val="both"/>
        <w:rPr>
          <w:rFonts w:ascii="Garamond" w:hAnsi="Garamond" w:cs="Garamond"/>
          <w:sz w:val="22"/>
          <w:szCs w:val="22"/>
        </w:rPr>
      </w:pPr>
      <w:r>
        <w:rPr>
          <w:rFonts w:ascii="Garamond" w:hAnsi="Garamond" w:cs="Garamond"/>
          <w:sz w:val="22"/>
          <w:szCs w:val="22"/>
        </w:rPr>
        <w:t>One of the most critical structural barriers is the chronic shortage of qualified teachers. In many border schools, honorary teachers outnumber permanent staff. These honorary teachers often receive salaries below the minimum wage and lack formal teaching qualifications, with more than half not holding university degrees. In Entikong, for example, only a handful of teachers are civil servants, while the majority are contract-based with minimal pedagogical training. This condition undermines the quality of education and perpetuates inequalities between border regions and urban centers.</w:t>
      </w:r>
      <w:r w:rsidR="00495D42">
        <w:rPr>
          <w:rStyle w:val="FootnoteReference"/>
          <w:rFonts w:ascii="Garamond" w:hAnsi="Garamond" w:cs="Garamond"/>
          <w:sz w:val="22"/>
          <w:szCs w:val="22"/>
        </w:rPr>
        <w:footnoteReference w:id="22"/>
      </w:r>
      <w:r>
        <w:rPr>
          <w:rFonts w:ascii="Garamond" w:hAnsi="Garamond" w:cs="Garamond"/>
          <w:sz w:val="22"/>
          <w:szCs w:val="22"/>
        </w:rPr>
        <w:t xml:space="preserve"> Teachers in border areas also face limited opportunities for professional development due to geographic isolation and inadequate financial support. The absence of incentives discourages young graduates from serving in remote schools, resulting in a cycle of low quality and poor learning outcomes.</w:t>
      </w:r>
      <w:r w:rsidR="00495D42">
        <w:rPr>
          <w:rStyle w:val="FootnoteReference"/>
          <w:rFonts w:ascii="Garamond" w:hAnsi="Garamond" w:cs="Garamond"/>
          <w:sz w:val="22"/>
          <w:szCs w:val="22"/>
        </w:rPr>
        <w:footnoteReference w:id="23"/>
      </w:r>
    </w:p>
    <w:p w14:paraId="7AE40DC3" w14:textId="591BB3D0" w:rsidR="00DF11B2" w:rsidRDefault="00000000">
      <w:pPr>
        <w:spacing w:after="0" w:line="240" w:lineRule="auto"/>
        <w:ind w:firstLineChars="329" w:firstLine="724"/>
        <w:jc w:val="both"/>
        <w:rPr>
          <w:rFonts w:ascii="Garamond" w:hAnsi="Garamond" w:cs="Garamond"/>
          <w:sz w:val="22"/>
          <w:szCs w:val="22"/>
        </w:rPr>
      </w:pPr>
      <w:r>
        <w:rPr>
          <w:rFonts w:ascii="Garamond" w:hAnsi="Garamond" w:cs="Garamond"/>
          <w:sz w:val="22"/>
          <w:szCs w:val="22"/>
        </w:rPr>
        <w:t>Infrastructure deficiencies constitute another formidable structural barrier. Many schools in West Kalimantan’s border districts operate in semi-permanent buildings, with inadequate classrooms, limited sanitation facilities, and no libraries or laboratories. In Sajingan Besar, for example, students frequently attend schools with leaking roofs and damaged floors, while in Entikong, the absence of internet connectivity prevents participation in national computer-based examinations.</w:t>
      </w:r>
      <w:r w:rsidR="00495D42">
        <w:rPr>
          <w:rStyle w:val="FootnoteReference"/>
          <w:rFonts w:ascii="Garamond" w:hAnsi="Garamond" w:cs="Garamond"/>
          <w:sz w:val="22"/>
          <w:szCs w:val="22"/>
        </w:rPr>
        <w:footnoteReference w:id="24"/>
      </w:r>
      <w:r>
        <w:rPr>
          <w:rFonts w:ascii="Garamond" w:hAnsi="Garamond" w:cs="Garamond"/>
          <w:sz w:val="22"/>
          <w:szCs w:val="22"/>
        </w:rPr>
        <w:t xml:space="preserve"> These infrastructural shortcomings are not mere inconveniences; they directly compromise the ability of children to access education of an acceptable standard. UNESCO’s global studies confirm that infrastructure quality is directly correlated with educational performance, highlighting that students in poor facilities are less likely to achieve satisfactory outcomes.</w:t>
      </w:r>
      <w:r w:rsidR="00495D42">
        <w:rPr>
          <w:rStyle w:val="FootnoteReference"/>
          <w:rFonts w:ascii="Garamond" w:hAnsi="Garamond" w:cs="Garamond"/>
          <w:sz w:val="22"/>
          <w:szCs w:val="22"/>
        </w:rPr>
        <w:footnoteReference w:id="25"/>
      </w:r>
    </w:p>
    <w:p w14:paraId="19F0DBDE" w14:textId="16CE26EE" w:rsidR="00DF11B2" w:rsidRDefault="00000000">
      <w:pPr>
        <w:spacing w:after="0" w:line="240" w:lineRule="auto"/>
        <w:ind w:firstLineChars="329" w:firstLine="724"/>
        <w:jc w:val="both"/>
        <w:rPr>
          <w:rFonts w:ascii="Garamond" w:hAnsi="Garamond" w:cs="Garamond"/>
          <w:sz w:val="22"/>
          <w:szCs w:val="22"/>
        </w:rPr>
      </w:pPr>
      <w:r>
        <w:rPr>
          <w:rFonts w:ascii="Garamond" w:hAnsi="Garamond" w:cs="Garamond"/>
          <w:sz w:val="22"/>
          <w:szCs w:val="22"/>
        </w:rPr>
        <w:t>The decentralization of education governance was intended to bring decision-making closer to communities and tailor services to local needs. Through Law No. 23 of 2014, significant authority was devolved to district governments. In theory, this framework should empower local governments in border regions to design and implement education programs responsive to their unique conditions. However, in practice, decentralization has often resulted in fragmentation and inequality. Local governments in border districts such as Kapuas Hulu and Sanggau frequently lack the administrative capacity and financial resources to fulfill their mandates.</w:t>
      </w:r>
      <w:r w:rsidR="00495D42">
        <w:rPr>
          <w:rStyle w:val="FootnoteReference"/>
          <w:rFonts w:ascii="Garamond" w:hAnsi="Garamond" w:cs="Garamond"/>
          <w:sz w:val="22"/>
          <w:szCs w:val="22"/>
        </w:rPr>
        <w:footnoteReference w:id="26"/>
      </w:r>
      <w:r>
        <w:rPr>
          <w:rFonts w:ascii="Garamond" w:hAnsi="Garamond" w:cs="Garamond"/>
          <w:sz w:val="22"/>
          <w:szCs w:val="22"/>
        </w:rPr>
        <w:t xml:space="preserve"> Central government transfers are insufficient and often delayed, while district governments face competing priorities such as infrastructure, health, and border security. As a result, education is underfunded, and disparities with urban regions widen.</w:t>
      </w:r>
    </w:p>
    <w:p w14:paraId="482F8806" w14:textId="7DB82F4E" w:rsidR="00DF11B2" w:rsidRDefault="00000000">
      <w:pPr>
        <w:spacing w:after="0" w:line="240" w:lineRule="auto"/>
        <w:ind w:firstLineChars="329" w:firstLine="724"/>
        <w:jc w:val="both"/>
        <w:rPr>
          <w:rFonts w:ascii="Garamond" w:hAnsi="Garamond" w:cs="Garamond"/>
          <w:sz w:val="22"/>
          <w:szCs w:val="22"/>
        </w:rPr>
      </w:pPr>
      <w:r>
        <w:rPr>
          <w:rFonts w:ascii="Garamond" w:hAnsi="Garamond" w:cs="Garamond"/>
          <w:sz w:val="22"/>
          <w:szCs w:val="22"/>
        </w:rPr>
        <w:t>Furthermore, decentralization has created overlapping responsibilities and weak coordination between central and local authorities. While the central government sets curriculum standards and administers national examinations, local governments are responsible for school infrastructure and teacher recruitment. The lack of integration between these levels of governance has produced inefficiencies and accountability gaps. For instance, while Entikong urgently needs new high schools, the district government has been unable to provide the required land, while central authorities remain unwilling to finance construction without local compliance.</w:t>
      </w:r>
      <w:r w:rsidR="00495D42">
        <w:rPr>
          <w:rStyle w:val="FootnoteReference"/>
          <w:rFonts w:ascii="Garamond" w:hAnsi="Garamond" w:cs="Garamond"/>
          <w:sz w:val="22"/>
          <w:szCs w:val="22"/>
        </w:rPr>
        <w:footnoteReference w:id="27"/>
      </w:r>
      <w:r>
        <w:rPr>
          <w:rFonts w:ascii="Garamond" w:hAnsi="Garamond" w:cs="Garamond"/>
          <w:sz w:val="22"/>
          <w:szCs w:val="22"/>
        </w:rPr>
        <w:t xml:space="preserve"> This bureaucratic stalemate exemplifies how decentralization, in the absence of adequate resources and strong coordination, exacerbates rather than alleviates inequalities in border education.</w:t>
      </w:r>
    </w:p>
    <w:p w14:paraId="628226BE" w14:textId="1DFBC20B" w:rsidR="00DF11B2" w:rsidRDefault="00000000">
      <w:pPr>
        <w:spacing w:after="0" w:line="240" w:lineRule="auto"/>
        <w:ind w:firstLineChars="329" w:firstLine="724"/>
        <w:jc w:val="both"/>
        <w:rPr>
          <w:rFonts w:ascii="Garamond" w:hAnsi="Garamond" w:cs="Garamond"/>
          <w:sz w:val="22"/>
          <w:szCs w:val="22"/>
        </w:rPr>
      </w:pPr>
      <w:r>
        <w:rPr>
          <w:rFonts w:ascii="Garamond" w:hAnsi="Garamond" w:cs="Garamond"/>
          <w:sz w:val="22"/>
          <w:szCs w:val="22"/>
        </w:rPr>
        <w:t>The third dimension of barriers is socio-economic conditions that profoundly shape educational access and outcomes in border regions. Many families in West Kalimantan’s border districts live below the poverty line, relying on subsistence agriculture or informal labor. Household incomes are often insufficient to cover even basic needs, let alone the additional costs associated with schooling. In Sambas and Kapuas Hulu, for instance, families must often choose between sending children to school and having them contribute to household income. These economic pressures contribute to high dropout rates and low transition rates from primary to secondary education.</w:t>
      </w:r>
      <w:r w:rsidR="00495D42">
        <w:rPr>
          <w:rStyle w:val="FootnoteReference"/>
          <w:rFonts w:ascii="Garamond" w:hAnsi="Garamond" w:cs="Garamond"/>
          <w:sz w:val="22"/>
          <w:szCs w:val="22"/>
        </w:rPr>
        <w:footnoteReference w:id="28"/>
      </w:r>
    </w:p>
    <w:p w14:paraId="36153BB0" w14:textId="38569049" w:rsidR="00DF11B2" w:rsidRDefault="00000000">
      <w:pPr>
        <w:spacing w:after="0" w:line="240" w:lineRule="auto"/>
        <w:ind w:firstLineChars="329" w:firstLine="724"/>
        <w:jc w:val="both"/>
        <w:rPr>
          <w:rFonts w:ascii="Garamond" w:hAnsi="Garamond" w:cs="Garamond"/>
          <w:sz w:val="22"/>
          <w:szCs w:val="22"/>
        </w:rPr>
      </w:pPr>
      <w:r>
        <w:rPr>
          <w:rFonts w:ascii="Garamond" w:hAnsi="Garamond" w:cs="Garamond"/>
          <w:sz w:val="22"/>
          <w:szCs w:val="22"/>
        </w:rPr>
        <w:t>The attraction of cross-border economic opportunities further complicates the socio-economic context. Malaysian plantations and service industries offer salaries significantly higher than those available in West Kalimantan. Families are therefore incentivized to send their children to Malaysian schools, which not only provide better facilities but also confer certificates that are directly recognized by the Malaysian labor market. This “education migration” is rational from the perspective of border families but problematic from the perspective of Indonesia’s sovereignty and national development.</w:t>
      </w:r>
      <w:r w:rsidR="00495D42">
        <w:rPr>
          <w:rStyle w:val="FootnoteReference"/>
          <w:rFonts w:ascii="Garamond" w:hAnsi="Garamond" w:cs="Garamond"/>
          <w:sz w:val="22"/>
          <w:szCs w:val="22"/>
        </w:rPr>
        <w:footnoteReference w:id="29"/>
      </w:r>
      <w:r>
        <w:rPr>
          <w:rFonts w:ascii="Garamond" w:hAnsi="Garamond" w:cs="Garamond"/>
          <w:sz w:val="22"/>
          <w:szCs w:val="22"/>
        </w:rPr>
        <w:t xml:space="preserve"> Children who study and eventually work in Malaysia often develop stronger cultural and economic ties with the neighboring country than with their homeland, weakening national identity in the long term.</w:t>
      </w:r>
      <w:r w:rsidR="00495D42">
        <w:rPr>
          <w:rStyle w:val="FootnoteReference"/>
          <w:rFonts w:ascii="Garamond" w:hAnsi="Garamond" w:cs="Garamond"/>
          <w:sz w:val="22"/>
          <w:szCs w:val="22"/>
        </w:rPr>
        <w:footnoteReference w:id="30"/>
      </w:r>
    </w:p>
    <w:p w14:paraId="679FA1A8" w14:textId="5378F100" w:rsidR="00DF11B2" w:rsidRDefault="00000000">
      <w:pPr>
        <w:spacing w:after="0" w:line="240" w:lineRule="auto"/>
        <w:ind w:firstLineChars="329" w:firstLine="724"/>
        <w:jc w:val="both"/>
        <w:rPr>
          <w:rFonts w:ascii="Garamond" w:hAnsi="Garamond" w:cs="Garamond"/>
          <w:sz w:val="22"/>
          <w:szCs w:val="22"/>
        </w:rPr>
      </w:pPr>
      <w:r>
        <w:rPr>
          <w:rFonts w:ascii="Garamond" w:hAnsi="Garamond" w:cs="Garamond"/>
          <w:sz w:val="22"/>
          <w:szCs w:val="22"/>
        </w:rPr>
        <w:t>Cultural and social barriers also intersect with economic ones. In some border communities, education is not always perceived as a priority, particularly when immediate economic survival is at stake. Traditional attitudes that undervalue formal education, combined with economic necessity, result in children being withdrawn from school early to work in agriculture or migrate to Malaysia.</w:t>
      </w:r>
      <w:r w:rsidR="00495D42">
        <w:rPr>
          <w:rStyle w:val="FootnoteReference"/>
          <w:rFonts w:ascii="Garamond" w:hAnsi="Garamond" w:cs="Garamond"/>
          <w:sz w:val="22"/>
          <w:szCs w:val="22"/>
        </w:rPr>
        <w:footnoteReference w:id="31"/>
      </w:r>
      <w:r>
        <w:rPr>
          <w:rFonts w:ascii="Garamond" w:hAnsi="Garamond" w:cs="Garamond"/>
          <w:sz w:val="22"/>
          <w:szCs w:val="22"/>
        </w:rPr>
        <w:t xml:space="preserve"> This dynamic not only deprives children of their right to education but also perpetuates cycles of poverty and exclusion. Progressive legal scholars such as Satjipto Rahardjo</w:t>
      </w:r>
      <w:r w:rsidR="00495D42">
        <w:rPr>
          <w:rStyle w:val="FootnoteReference"/>
          <w:rFonts w:ascii="Garamond" w:hAnsi="Garamond" w:cs="Garamond"/>
          <w:sz w:val="22"/>
          <w:szCs w:val="22"/>
        </w:rPr>
        <w:footnoteReference w:id="32"/>
      </w:r>
      <w:r w:rsidR="00495D42">
        <w:rPr>
          <w:rStyle w:val="FootnoteReference"/>
          <w:rFonts w:ascii="Garamond" w:hAnsi="Garamond" w:cs="Garamond"/>
          <w:sz w:val="22"/>
          <w:szCs w:val="22"/>
        </w:rPr>
        <w:footnoteReference w:id="33"/>
      </w:r>
      <w:r>
        <w:rPr>
          <w:rFonts w:ascii="Garamond" w:hAnsi="Garamond" w:cs="Garamond"/>
          <w:sz w:val="22"/>
          <w:szCs w:val="22"/>
        </w:rPr>
        <w:t xml:space="preserve"> emphasize that law must function as a tool of social engineering, capable of reshaping social behavior toward justice and development Yet in border regions, the failure of education law to address socio-economic realities illustrates the limits of a purely normative approach.</w:t>
      </w:r>
    </w:p>
    <w:p w14:paraId="7209983F" w14:textId="390AA41C" w:rsidR="00DF11B2" w:rsidRDefault="00000000">
      <w:pPr>
        <w:spacing w:after="0" w:line="240" w:lineRule="auto"/>
        <w:ind w:firstLineChars="329" w:firstLine="724"/>
        <w:jc w:val="both"/>
        <w:rPr>
          <w:rFonts w:ascii="Garamond" w:hAnsi="Garamond" w:cs="Garamond"/>
          <w:sz w:val="22"/>
          <w:szCs w:val="22"/>
        </w:rPr>
      </w:pPr>
      <w:r>
        <w:rPr>
          <w:rFonts w:ascii="Garamond" w:hAnsi="Garamond" w:cs="Garamond"/>
          <w:sz w:val="22"/>
          <w:szCs w:val="22"/>
        </w:rPr>
        <w:t>The combined effect of structural, decentralization, and socio-economic barriers is the entrenchment of educational inequality. Border children are not only deprived of physical access to schools but are also disadvantaged by the poor quality of available education, the weakness of local governance, and the weight of poverty.</w:t>
      </w:r>
      <w:r w:rsidR="00257851">
        <w:rPr>
          <w:rStyle w:val="FootnoteReference"/>
          <w:rFonts w:ascii="Garamond" w:hAnsi="Garamond" w:cs="Garamond"/>
          <w:sz w:val="22"/>
          <w:szCs w:val="22"/>
        </w:rPr>
        <w:footnoteReference w:id="34"/>
      </w:r>
      <w:r>
        <w:rPr>
          <w:rFonts w:ascii="Garamond" w:hAnsi="Garamond" w:cs="Garamond"/>
          <w:sz w:val="22"/>
          <w:szCs w:val="22"/>
        </w:rPr>
        <w:t xml:space="preserve"> These barriers reinforce one another: weak governance leads to poor infrastructure and inadequate teachers; poverty prevents families from overcoming these deficiencies; and cross-border opportunities pull children away from Indonesia’s education system altogether. The result is a systemic pattern of exclusion that undermines Indonesia’s obligations under ICESCR and its own constitutional guarantees.</w:t>
      </w:r>
      <w:r w:rsidR="003A7D20">
        <w:rPr>
          <w:rStyle w:val="FootnoteReference"/>
          <w:rFonts w:ascii="Garamond" w:hAnsi="Garamond" w:cs="Garamond"/>
          <w:sz w:val="22"/>
          <w:szCs w:val="22"/>
        </w:rPr>
        <w:footnoteReference w:id="35"/>
      </w:r>
    </w:p>
    <w:p w14:paraId="7522B081" w14:textId="77777777" w:rsidR="00DF11B2" w:rsidRDefault="00000000">
      <w:pPr>
        <w:spacing w:after="0" w:line="240" w:lineRule="auto"/>
        <w:ind w:firstLineChars="329" w:firstLine="724"/>
        <w:jc w:val="both"/>
        <w:rPr>
          <w:rFonts w:ascii="Garamond" w:hAnsi="Garamond"/>
          <w:b/>
          <w:bCs/>
          <w:spacing w:val="-6"/>
          <w:sz w:val="22"/>
          <w:szCs w:val="22"/>
        </w:rPr>
      </w:pPr>
      <w:r>
        <w:rPr>
          <w:rFonts w:ascii="Garamond" w:hAnsi="Garamond" w:cs="Garamond"/>
          <w:sz w:val="22"/>
          <w:szCs w:val="22"/>
        </w:rPr>
        <w:t>The persistence of these barriers also has broader implications for national resilience. Education is not merely an individual right but also a collective good that shapes citizenship, economic development, and social cohesion. When border children are excluded from quality education, they are also excluded from the processes that bind them to the nation. The risks are evident in the growing trend of dependence on Malaysian education and labor markets, which could, in the long run, erode Indonesia’s sovereignty in its border regions. These challenges highlight the urgent need for a new legal and policy model—one that integrates international commitments, national legal frameworks, and local socio-economic realities to ensure that the right to education is substantively fulfilled in border communities</w:t>
      </w:r>
    </w:p>
    <w:p w14:paraId="4EDA3C60" w14:textId="77777777" w:rsidR="00DF11B2" w:rsidRDefault="00DF11B2">
      <w:pPr>
        <w:spacing w:after="0" w:line="240" w:lineRule="auto"/>
        <w:jc w:val="both"/>
        <w:rPr>
          <w:rFonts w:ascii="Garamond" w:hAnsi="Garamond"/>
          <w:b/>
          <w:spacing w:val="-6"/>
          <w:sz w:val="22"/>
          <w:szCs w:val="22"/>
        </w:rPr>
      </w:pPr>
    </w:p>
    <w:p w14:paraId="254AFDED" w14:textId="77777777" w:rsidR="00DF11B2" w:rsidRDefault="00000000">
      <w:pPr>
        <w:pStyle w:val="NoSpacing"/>
        <w:jc w:val="both"/>
        <w:rPr>
          <w:rFonts w:ascii="Garamond" w:hAnsi="Garamond"/>
          <w:b/>
          <w:bCs/>
          <w:lang w:val="en-US"/>
        </w:rPr>
      </w:pPr>
      <w:r>
        <w:rPr>
          <w:rFonts w:ascii="Garamond" w:hAnsi="Garamond"/>
          <w:b/>
          <w:bCs/>
          <w:lang w:val="en-US"/>
        </w:rPr>
        <w:t>The Foundations of Legal Harmonization and Local Realities in Fulfilling Education Rights</w:t>
      </w:r>
    </w:p>
    <w:p w14:paraId="48FC38C6" w14:textId="19EC897B" w:rsidR="00DF11B2" w:rsidRDefault="00000000">
      <w:pPr>
        <w:pStyle w:val="NoSpacing"/>
        <w:ind w:firstLineChars="327" w:firstLine="719"/>
        <w:jc w:val="both"/>
        <w:rPr>
          <w:rFonts w:ascii="Garamond" w:hAnsi="Garamond"/>
          <w:lang w:val="en-US"/>
        </w:rPr>
      </w:pPr>
      <w:r>
        <w:rPr>
          <w:rFonts w:ascii="Garamond" w:hAnsi="Garamond"/>
          <w:lang w:val="en-US"/>
        </w:rPr>
        <w:t>The debate on fulfilling the right to education in Indonesia’s border regions highlights the inadequacy of existing legal frameworks to address systemic inequalities. On paper, Indonesia possesses a comprehensive legal basis: ratification of the International Covenant on Economic, Social and Cultural Rights (ICESCR), constitutional guarantees in Article 31 of the 1945 Constitution, and the National Education System Law (UU Sisdiknas) which lays out principles of equity and quality.</w:t>
      </w:r>
      <w:r w:rsidR="00171FCA">
        <w:rPr>
          <w:rStyle w:val="FootnoteReference"/>
          <w:rFonts w:ascii="Garamond" w:hAnsi="Garamond"/>
          <w:lang w:val="en-US"/>
        </w:rPr>
        <w:footnoteReference w:id="36"/>
      </w:r>
      <w:r>
        <w:rPr>
          <w:rFonts w:ascii="Garamond" w:hAnsi="Garamond"/>
          <w:lang w:val="en-US"/>
        </w:rPr>
        <w:t xml:space="preserve"> Yet these layers of law often operate in isolation, resulting in fragmentation rather than synergy. The consequences are starkly visible in border districts such as Sambas, Bengkayang, Kapuas Hulu, and Entikong, where children face structural obstacles to accessing education despite abundant legal guarantees. Constructing an integrative approach to legal harmonization requires strong foundations that can bind these fragmented layers into a coherent, operational, and socially legitimate system.</w:t>
      </w:r>
      <w:r w:rsidR="003A7D20">
        <w:rPr>
          <w:rStyle w:val="FootnoteReference"/>
          <w:rFonts w:ascii="Garamond" w:hAnsi="Garamond"/>
          <w:lang w:val="en-US"/>
        </w:rPr>
        <w:footnoteReference w:id="37"/>
      </w:r>
    </w:p>
    <w:p w14:paraId="0F1AEF4E" w14:textId="5A186920" w:rsidR="00DF11B2" w:rsidRDefault="00000000">
      <w:pPr>
        <w:pStyle w:val="NoSpacing"/>
        <w:ind w:firstLineChars="327" w:firstLine="719"/>
        <w:jc w:val="both"/>
        <w:rPr>
          <w:rFonts w:ascii="Garamond" w:hAnsi="Garamond"/>
          <w:lang w:val="en-US"/>
        </w:rPr>
      </w:pPr>
      <w:r>
        <w:rPr>
          <w:rFonts w:ascii="Garamond" w:hAnsi="Garamond"/>
          <w:lang w:val="en-US"/>
        </w:rPr>
        <w:t>The urgency of harmonization becomes clear when one examines the distance between international commitments and local realities. Through ICESCR, Indonesia is obligated to progressively realize education rights according to the “4-A” framework—availability, accessibility, acceptability, and adaptability.</w:t>
      </w:r>
      <w:r w:rsidR="00171FCA">
        <w:rPr>
          <w:rStyle w:val="FootnoteReference"/>
          <w:rFonts w:ascii="Garamond" w:hAnsi="Garamond"/>
          <w:lang w:val="en-US"/>
        </w:rPr>
        <w:footnoteReference w:id="38"/>
      </w:r>
      <w:r>
        <w:rPr>
          <w:rFonts w:ascii="Garamond" w:hAnsi="Garamond"/>
          <w:lang w:val="en-US"/>
        </w:rPr>
        <w:t xml:space="preserve"> This obligation is not symbolic; it requires measurable improvements, monitored by the Committee on Economic, Social and Cultural Rights, through periodic reports submitted by Indonesia. In its concluding observations, the Committee has repeatedly emphasized the need for Indonesia to address disparities across regions, especially rural and border areas. Yet reports from West Kalimantan reveal that while urban centers like Pontianak see improvements in school enrollment and infrastructure, border districts remain far behind. In Puring Kencana, Kapuas Hulu, secondary schools are absent, forcing children to travel more than 50 kilometers over treacherous roads.</w:t>
      </w:r>
      <w:r w:rsidR="00171FCA">
        <w:rPr>
          <w:rStyle w:val="FootnoteReference"/>
          <w:rFonts w:ascii="Garamond" w:hAnsi="Garamond"/>
          <w:lang w:val="en-US"/>
        </w:rPr>
        <w:footnoteReference w:id="39"/>
      </w:r>
      <w:r>
        <w:rPr>
          <w:rFonts w:ascii="Garamond" w:hAnsi="Garamond"/>
          <w:lang w:val="en-US"/>
        </w:rPr>
        <w:t xml:space="preserve"> Such situations make it evident that ratification alone does not guarantee fulfillment; harmonization is necessary to embed international standards into national and local policies.</w:t>
      </w:r>
    </w:p>
    <w:p w14:paraId="175B41FB" w14:textId="1CEAC096" w:rsidR="00DF11B2" w:rsidRDefault="00000000">
      <w:pPr>
        <w:pStyle w:val="NoSpacing"/>
        <w:ind w:firstLineChars="327" w:firstLine="719"/>
        <w:jc w:val="both"/>
        <w:rPr>
          <w:rFonts w:ascii="Garamond" w:hAnsi="Garamond"/>
          <w:lang w:val="en-US"/>
        </w:rPr>
      </w:pPr>
      <w:r>
        <w:rPr>
          <w:rFonts w:ascii="Garamond" w:hAnsi="Garamond"/>
          <w:lang w:val="en-US"/>
        </w:rPr>
        <w:t>Constitutional guarantees reinforce this obligation. Article 31 of the 1945 Constitution not only recognizes the right to education but obliges the state to allocate at least 20 percent of the national and regional budgets for education. On paper, this appears transformative. In practice, however, allocation disparities persist. A significant portion of the education budget is consumed by salaries and operational costs in urban schools, leaving border regions with minimal investment for infrastructure or teacher recruitment.</w:t>
      </w:r>
      <w:r w:rsidR="00310A32">
        <w:rPr>
          <w:rStyle w:val="FootnoteReference"/>
          <w:rFonts w:ascii="Garamond" w:hAnsi="Garamond"/>
          <w:lang w:val="en-US"/>
        </w:rPr>
        <w:footnoteReference w:id="40"/>
      </w:r>
      <w:r>
        <w:rPr>
          <w:rFonts w:ascii="Garamond" w:hAnsi="Garamond"/>
          <w:lang w:val="en-US"/>
        </w:rPr>
        <w:t xml:space="preserve"> For families in Sajingan Besar or Entikong, constitutional promises ring hollow when classrooms remain overcrowded, facilities dilapidated, and dropout rates high.</w:t>
      </w:r>
      <w:r w:rsidR="00310A32">
        <w:rPr>
          <w:rStyle w:val="FootnoteReference"/>
          <w:rFonts w:ascii="Garamond" w:hAnsi="Garamond"/>
          <w:lang w:val="en-US"/>
        </w:rPr>
        <w:footnoteReference w:id="41"/>
      </w:r>
      <w:r>
        <w:rPr>
          <w:rFonts w:ascii="Garamond" w:hAnsi="Garamond"/>
          <w:lang w:val="en-US"/>
        </w:rPr>
        <w:t xml:space="preserve"> Harmonization must therefore ensure that constitutional obligations are translated into equitable distribution mechanisms, ensuring that border regions receive resources proportionate to their needs.</w:t>
      </w:r>
      <w:r w:rsidR="00310A32">
        <w:rPr>
          <w:rStyle w:val="FootnoteReference"/>
          <w:rFonts w:ascii="Garamond" w:hAnsi="Garamond"/>
          <w:lang w:val="en-US"/>
        </w:rPr>
        <w:footnoteReference w:id="42"/>
      </w:r>
    </w:p>
    <w:p w14:paraId="22FEE7F8" w14:textId="7034AAE7" w:rsidR="00DF11B2" w:rsidRDefault="00000000">
      <w:pPr>
        <w:pStyle w:val="NoSpacing"/>
        <w:ind w:firstLineChars="327" w:firstLine="719"/>
        <w:jc w:val="both"/>
        <w:rPr>
          <w:rFonts w:ascii="Garamond" w:hAnsi="Garamond"/>
          <w:lang w:val="en-US"/>
        </w:rPr>
      </w:pPr>
      <w:r>
        <w:rPr>
          <w:rFonts w:ascii="Garamond" w:hAnsi="Garamond"/>
          <w:lang w:val="en-US"/>
        </w:rPr>
        <w:t>The statutory framework through the UU Sisdiknas was intended to operationalize constitutional guarantees. It defines education as a means to develop capabilities and build dignity, stipulates democratic and equitable principles, and sets out structures for compulsory education. However, critics note that the law is overly centralized, enforcing uniform curricula and administrative models across vastly different regions.</w:t>
      </w:r>
      <w:r w:rsidR="00310A32">
        <w:rPr>
          <w:rStyle w:val="FootnoteReference"/>
          <w:rFonts w:ascii="Garamond" w:hAnsi="Garamond"/>
          <w:lang w:val="en-US"/>
        </w:rPr>
        <w:footnoteReference w:id="43"/>
      </w:r>
      <w:r>
        <w:rPr>
          <w:rFonts w:ascii="Garamond" w:hAnsi="Garamond"/>
          <w:lang w:val="en-US"/>
        </w:rPr>
        <w:t xml:space="preserve"> In border contexts, where socio-economic realities differ significantly from Java or Bali, such rigidity alienates communities.</w:t>
      </w:r>
      <w:r w:rsidR="005159B0">
        <w:rPr>
          <w:rStyle w:val="FootnoteReference"/>
          <w:rFonts w:ascii="Garamond" w:hAnsi="Garamond"/>
          <w:lang w:val="en-US"/>
        </w:rPr>
        <w:footnoteReference w:id="44"/>
      </w:r>
      <w:r>
        <w:rPr>
          <w:rFonts w:ascii="Garamond" w:hAnsi="Garamond"/>
          <w:lang w:val="en-US"/>
        </w:rPr>
        <w:t xml:space="preserve"> The National Curriculum does not incorporate local knowledge systems, vocational needs, or cross-border dynamics, making education feel irrelevant to border families. The harmonization foundation must therefore include statutory reforms that allow greater curricular flexibility and localized adaptation while retaining national standards of quality.</w:t>
      </w:r>
      <w:r w:rsidR="005159B0">
        <w:rPr>
          <w:rStyle w:val="FootnoteReference"/>
          <w:rFonts w:ascii="Garamond" w:hAnsi="Garamond"/>
          <w:lang w:val="en-US"/>
        </w:rPr>
        <w:footnoteReference w:id="45"/>
      </w:r>
    </w:p>
    <w:p w14:paraId="2815C7E6" w14:textId="3EC52B6B" w:rsidR="00DF11B2" w:rsidRDefault="00000000">
      <w:pPr>
        <w:pStyle w:val="NoSpacing"/>
        <w:ind w:firstLineChars="327" w:firstLine="719"/>
        <w:jc w:val="both"/>
        <w:rPr>
          <w:rFonts w:ascii="Garamond" w:hAnsi="Garamond"/>
          <w:lang w:val="en-US"/>
        </w:rPr>
      </w:pPr>
      <w:r>
        <w:rPr>
          <w:rFonts w:ascii="Garamond" w:hAnsi="Garamond"/>
          <w:lang w:val="en-US"/>
        </w:rPr>
        <w:t>Philosophically, this project of harmonization finds justification in Satjipto Rahardjo’s</w:t>
      </w:r>
      <w:r w:rsidR="005159B0">
        <w:rPr>
          <w:rStyle w:val="FootnoteReference"/>
          <w:rFonts w:ascii="Garamond" w:hAnsi="Garamond"/>
          <w:lang w:val="en-US"/>
        </w:rPr>
        <w:footnoteReference w:id="46"/>
      </w:r>
      <w:r>
        <w:rPr>
          <w:rFonts w:ascii="Garamond" w:hAnsi="Garamond"/>
          <w:lang w:val="en-US"/>
        </w:rPr>
        <w:t xml:space="preserve"> concept of progressive law. It argues that law is not a closed system of norms but a living instrument that must serve humanity. Law exists “for human beings, not the other way around.” In border education, this principle means that legal frameworks cannot be judged by their textual beauty or formal completeness but by their capacity to deliver justice to marginalized communities.</w:t>
      </w:r>
      <w:r w:rsidR="00503DA2">
        <w:rPr>
          <w:rStyle w:val="FootnoteReference"/>
          <w:rFonts w:ascii="Garamond" w:hAnsi="Garamond"/>
          <w:lang w:val="en-US"/>
        </w:rPr>
        <w:footnoteReference w:id="47"/>
      </w:r>
      <w:r>
        <w:rPr>
          <w:rFonts w:ascii="Garamond" w:hAnsi="Garamond"/>
          <w:lang w:val="en-US"/>
        </w:rPr>
        <w:t xml:space="preserve"> Progressive law emphasizes substance over procedure, justice over formality. It challenges the complacency of assuming that ratification or legislation equals realization.</w:t>
      </w:r>
    </w:p>
    <w:p w14:paraId="66A27BDF" w14:textId="394417A6" w:rsidR="00DF11B2" w:rsidRDefault="00000000">
      <w:pPr>
        <w:pStyle w:val="NoSpacing"/>
        <w:ind w:firstLineChars="327" w:firstLine="719"/>
        <w:jc w:val="both"/>
        <w:rPr>
          <w:rFonts w:ascii="Garamond" w:hAnsi="Garamond"/>
          <w:lang w:val="en-US"/>
        </w:rPr>
      </w:pPr>
      <w:r>
        <w:rPr>
          <w:rFonts w:ascii="Garamond" w:hAnsi="Garamond"/>
          <w:lang w:val="en-US"/>
        </w:rPr>
        <w:t>Progressive law also demands innovation and flexibility. If rigid regulations impede solutions, they must be reinterpreted or adjusted. For instance, teacher shortages in Kapuas Hulu could be alleviated by recruiting para-teachers from local communities and providing state-funded training. While this may not align with conventional certification requirements, it aligns with the spirit of justice by ensuring children have access to instruction. Similarly, bilateral agreements with Malaysia could formalize cross-border schooling arrangements while protecting the rights of Indonesian children who attend Malaysian schools. These steps might not fit neatly within existing frameworks but embody the progressive principle of law as social engineering.</w:t>
      </w:r>
      <w:r w:rsidR="00503DA2">
        <w:rPr>
          <w:rStyle w:val="FootnoteReference"/>
          <w:rFonts w:ascii="Garamond" w:hAnsi="Garamond"/>
          <w:lang w:val="en-US"/>
        </w:rPr>
        <w:footnoteReference w:id="48"/>
      </w:r>
    </w:p>
    <w:p w14:paraId="0277187F" w14:textId="77777777" w:rsidR="00DF11B2" w:rsidRDefault="00000000">
      <w:pPr>
        <w:pStyle w:val="NoSpacing"/>
        <w:ind w:firstLineChars="327" w:firstLine="719"/>
        <w:jc w:val="both"/>
        <w:rPr>
          <w:rFonts w:ascii="Garamond" w:hAnsi="Garamond"/>
          <w:lang w:val="en-US"/>
        </w:rPr>
      </w:pPr>
      <w:r>
        <w:rPr>
          <w:rFonts w:ascii="Garamond" w:hAnsi="Garamond"/>
          <w:lang w:val="en-US"/>
        </w:rPr>
        <w:t>Curricular uniformity exemplifies where progressive reform is needed most. The centralized system has imposed a one-size-fits-all curriculum, alienating border students whose daily lives revolve around agriculture, fisheries, and small-scale trade. High dropout rates reflect this alienation. Progressive law would demand curricular flexibility—integrating vocational skills, agricultural knowledge, and bilingual literacy relevant to cross-border realities. Such reforms not only make education meaningful but also strengthen its legitimacy in the eyes of local communities. Education, under a progressive lens, is not merely about transmitting standardized knowledge but about equipping communities with skills and values necessary for survival, dignity, and empowerment.</w:t>
      </w:r>
    </w:p>
    <w:p w14:paraId="2DF364A1" w14:textId="73416800" w:rsidR="00DF11B2" w:rsidRDefault="00000000">
      <w:pPr>
        <w:pStyle w:val="NoSpacing"/>
        <w:ind w:firstLineChars="327" w:firstLine="719"/>
        <w:jc w:val="both"/>
        <w:rPr>
          <w:rFonts w:ascii="Garamond" w:hAnsi="Garamond"/>
          <w:lang w:val="en-US"/>
        </w:rPr>
      </w:pPr>
      <w:r>
        <w:rPr>
          <w:rFonts w:ascii="Garamond" w:hAnsi="Garamond"/>
          <w:lang w:val="en-US"/>
        </w:rPr>
        <w:t>Equally crucial to the foundations of harmonization is the integration of local values, customary law, and social realities. Law derives legitimacy not only from state authority but also from its resonance with community norms. In West Kalimantan, parents often prefer Malaysian schools not out of disloyalty but because those schools provide uniforms, dormitories, and vocational pathways that align with local economic needs. This preference reveals a legitimacy crisis: Indonesian education policies have not adapted to border realities. If the law does not reflect community needs, it loses relevance and compliance.</w:t>
      </w:r>
      <w:r w:rsidR="00DD02E3">
        <w:rPr>
          <w:rStyle w:val="FootnoteReference"/>
          <w:rFonts w:ascii="Garamond" w:hAnsi="Garamond"/>
          <w:lang w:val="en-US"/>
        </w:rPr>
        <w:footnoteReference w:id="49"/>
      </w:r>
    </w:p>
    <w:p w14:paraId="6D683992" w14:textId="0B3A2B74" w:rsidR="00DF11B2" w:rsidRDefault="00000000">
      <w:pPr>
        <w:pStyle w:val="NoSpacing"/>
        <w:ind w:firstLineChars="327" w:firstLine="719"/>
        <w:jc w:val="both"/>
        <w:rPr>
          <w:rFonts w:ascii="Garamond" w:hAnsi="Garamond"/>
          <w:lang w:val="en-US"/>
        </w:rPr>
      </w:pPr>
      <w:r>
        <w:rPr>
          <w:rFonts w:ascii="Garamond" w:hAnsi="Garamond"/>
          <w:lang w:val="en-US"/>
        </w:rPr>
        <w:t>Integrating local realities requires acknowledging adat and communal institutions as resources, not obstacles. Customary norms can enhance legitimacy when formally recognized. In border education, this might mean involving adat leaders in school governance, embedding local cultural knowledge in curricula, or supporting community-run learning centers with state funding. Such measures blend statutory authority with grassroots legitimacy, ensuring policies are not imposed but co-created.</w:t>
      </w:r>
      <w:r w:rsidR="00DD02E3">
        <w:rPr>
          <w:rStyle w:val="FootnoteReference"/>
          <w:rFonts w:ascii="Garamond" w:hAnsi="Garamond"/>
          <w:lang w:val="en-US"/>
        </w:rPr>
        <w:footnoteReference w:id="50"/>
      </w:r>
    </w:p>
    <w:p w14:paraId="52759903" w14:textId="666EF011" w:rsidR="00DF11B2" w:rsidRDefault="00000000">
      <w:pPr>
        <w:pStyle w:val="NoSpacing"/>
        <w:ind w:firstLineChars="327" w:firstLine="719"/>
        <w:jc w:val="both"/>
        <w:rPr>
          <w:rFonts w:ascii="Garamond" w:hAnsi="Garamond"/>
          <w:lang w:val="en-US"/>
        </w:rPr>
      </w:pPr>
      <w:r>
        <w:rPr>
          <w:rFonts w:ascii="Garamond" w:hAnsi="Garamond"/>
          <w:lang w:val="en-US"/>
        </w:rPr>
        <w:t>The integration of social realities also addresses the issue of trust. Education policies designed in Jakarta often fail to reach remote villages because they disregard transportation barriers, poverty, and linguistic diversity. Incorporating these realities ensures policies are not only valid on paper but also effective in practice.</w:t>
      </w:r>
      <w:r w:rsidR="00C33189">
        <w:rPr>
          <w:rStyle w:val="FootnoteReference"/>
          <w:rFonts w:ascii="Garamond" w:hAnsi="Garamond"/>
          <w:lang w:val="en-US"/>
        </w:rPr>
        <w:footnoteReference w:id="51"/>
      </w:r>
      <w:r>
        <w:rPr>
          <w:rFonts w:ascii="Garamond" w:hAnsi="Garamond"/>
          <w:lang w:val="en-US"/>
        </w:rPr>
        <w:t xml:space="preserve"> For example, bilingual programs incorporating Dayak languages or Malay dialects can improve inclusivity and learning outcomes. Curricula aligned with local economies—teaching agricultural techniques, trade literacy, and cross-border legal awareness—make schooling directly relevant, reducing dropout rates and migration pressures.</w:t>
      </w:r>
      <w:r w:rsidR="00C33189">
        <w:rPr>
          <w:rStyle w:val="FootnoteReference"/>
          <w:rFonts w:ascii="Garamond" w:hAnsi="Garamond"/>
          <w:lang w:val="en-US"/>
        </w:rPr>
        <w:footnoteReference w:id="52"/>
      </w:r>
    </w:p>
    <w:p w14:paraId="047BF56A" w14:textId="77777777" w:rsidR="00DF11B2" w:rsidRDefault="00000000">
      <w:pPr>
        <w:pStyle w:val="NoSpacing"/>
        <w:ind w:firstLineChars="327" w:firstLine="719"/>
        <w:jc w:val="both"/>
        <w:rPr>
          <w:rFonts w:ascii="Garamond" w:hAnsi="Garamond"/>
          <w:lang w:val="en-US"/>
        </w:rPr>
      </w:pPr>
      <w:r>
        <w:rPr>
          <w:rFonts w:ascii="Garamond" w:hAnsi="Garamond"/>
          <w:lang w:val="en-US"/>
        </w:rPr>
        <w:t>Comparative experiences from neighboring countries further underscore the importance of these foundations. Malaysia, for instance, has successfully integrated vocational training into rural schools in Sarawak, aligning education with local economic needs. The Philippines has implemented bilingual and multicultural education programs under the Indigenous Peoples Rights Act, recognizing indigenous languages and cultures in curricula. Thailand has developed cross-border education programs along its frontiers, ensuring that children in peripheral regions are not excluded from national systems. These examples show that harmonization does not mean imposing uniformity but fostering flexibility and responsiveness. Indonesia can draw lessons from such practices to design an approach that is both globally aligned and locally grounded.</w:t>
      </w:r>
    </w:p>
    <w:p w14:paraId="22829783" w14:textId="77777777" w:rsidR="00DF11B2" w:rsidRDefault="00000000">
      <w:pPr>
        <w:pStyle w:val="NoSpacing"/>
        <w:ind w:firstLineChars="327" w:firstLine="719"/>
        <w:jc w:val="both"/>
        <w:rPr>
          <w:rFonts w:ascii="Garamond" w:hAnsi="Garamond"/>
          <w:lang w:val="en-US"/>
        </w:rPr>
      </w:pPr>
      <w:r>
        <w:rPr>
          <w:rFonts w:ascii="Garamond" w:hAnsi="Garamond"/>
          <w:lang w:val="en-US"/>
        </w:rPr>
        <w:t>The urgency of harmonization, the philosophical grounding of progressive law, and the integration of local values together form the backbone of achieving substantive educational equity. They demand a shift from law as static text to law as living practice, from formalism to substance, from top-down imposition to co-created legitimacy. The border regions of West Kalimantan provide the ultimate test: if legal harmonization and local realities can be successfully aligned here, amidst geographical isolation, poverty, and cross-border dynamics, it can provide a template for national reform. More importantly, it can demonstrate that law, when properly harmonized, is capable not only of declaring rights but of realizing them in practice.</w:t>
      </w:r>
    </w:p>
    <w:p w14:paraId="06FB3251" w14:textId="77777777" w:rsidR="00DF11B2" w:rsidRDefault="00DF11B2">
      <w:pPr>
        <w:pStyle w:val="NoSpacing"/>
        <w:ind w:firstLineChars="327" w:firstLine="719"/>
        <w:jc w:val="both"/>
        <w:rPr>
          <w:rFonts w:ascii="Garamond" w:hAnsi="Garamond"/>
          <w:lang w:val="en-US"/>
        </w:rPr>
      </w:pPr>
    </w:p>
    <w:p w14:paraId="6DC609F7" w14:textId="77777777" w:rsidR="00DF11B2" w:rsidRDefault="00000000">
      <w:pPr>
        <w:pStyle w:val="NoSpacing"/>
        <w:jc w:val="both"/>
        <w:rPr>
          <w:rFonts w:ascii="Garamond" w:hAnsi="Garamond"/>
          <w:b/>
          <w:bCs/>
          <w:lang w:val="en-US"/>
        </w:rPr>
      </w:pPr>
      <w:r>
        <w:rPr>
          <w:rFonts w:ascii="Garamond" w:hAnsi="Garamond"/>
          <w:b/>
          <w:bCs/>
          <w:lang w:val="en-US"/>
        </w:rPr>
        <w:t>Constructing a Multi-Level Framework for Legal Harmonization and Local Realities</w:t>
      </w:r>
    </w:p>
    <w:p w14:paraId="61793FF1" w14:textId="77777777" w:rsidR="00DF11B2" w:rsidRDefault="00000000">
      <w:pPr>
        <w:pStyle w:val="NoSpacing"/>
        <w:ind w:firstLineChars="327" w:firstLine="719"/>
        <w:jc w:val="both"/>
        <w:rPr>
          <w:rFonts w:ascii="Garamond" w:hAnsi="Garamond"/>
          <w:lang w:val="en-US"/>
        </w:rPr>
      </w:pPr>
      <w:r>
        <w:rPr>
          <w:rFonts w:ascii="Garamond" w:hAnsi="Garamond"/>
          <w:lang w:val="en-US"/>
        </w:rPr>
        <w:t>Building an integrative framework for legal harmonization and local realities to fulfill education rights in border areas requires not only a strong philosophical foundation but also a practical design that connects the different levels of law and governance. Fragmentation has long been the main weakness of Indonesia’s education framework in border regions. International commitments remain detached from national legislation, constitutional guarantees often stay declaratory, statutory provisions are rigid and centralized, while local governments struggle with capacity and resources. A multi-level and contextual framework seeks to overcome this fragmentation by ensuring that the three legal layers—international, national, and local—are harmonized in a coherent, adaptive, and socially grounded system.</w:t>
      </w:r>
    </w:p>
    <w:p w14:paraId="0396DA18" w14:textId="77777777" w:rsidR="00DF11B2" w:rsidRDefault="00000000">
      <w:pPr>
        <w:pStyle w:val="NoSpacing"/>
        <w:ind w:firstLineChars="327" w:firstLine="719"/>
        <w:jc w:val="both"/>
        <w:rPr>
          <w:rFonts w:ascii="Garamond" w:hAnsi="Garamond"/>
          <w:lang w:val="en-US"/>
        </w:rPr>
      </w:pPr>
      <w:r>
        <w:rPr>
          <w:rFonts w:ascii="Garamond" w:hAnsi="Garamond"/>
          <w:lang w:val="en-US"/>
        </w:rPr>
        <w:t>A crucial source of inspiration comes from comparative practices in other countries, which demonstrate that multi-level harmonization and contextualization are not only possible but effective in ensuring the realization of rights in marginalized regions. Malaysia, for example, has implemented strong rural education policies in Sarawak and Sabah that integrate vocational training and community-based learning into secondary education. This ensures that students in rural and border areas acquire not only academic knowledge but also skills directly applicable to their socio-economic environment. Families in West Kalimantan often choose Malaysian schools for precisely this reason: they provide uniforms, dormitories, and immediate pathways to employment. The Philippines provides another relevant example with its Indigenous Peoples Rights Act (IPRA), which mandates bilingual and culturally relevant education for indigenous communities. By integrating indigenous languages and values into curricula, the Philippines has significantly increased participation and reduced dropout rates in indigenous regions. Thailand has pursued similar approaches in its border provinces, developing cross-border educational cooperation and offering flexible schooling for children of migrant workers. These examples highlight that harmonization across legal levels must be paired with contextual adaptation to local realities, particularly cultural and economic needs.</w:t>
      </w:r>
    </w:p>
    <w:p w14:paraId="4D398084" w14:textId="77777777" w:rsidR="00DF11B2" w:rsidRDefault="00000000">
      <w:pPr>
        <w:pStyle w:val="NoSpacing"/>
        <w:ind w:firstLineChars="327" w:firstLine="719"/>
        <w:jc w:val="both"/>
        <w:rPr>
          <w:rFonts w:ascii="Garamond" w:hAnsi="Garamond"/>
          <w:lang w:val="en-US"/>
        </w:rPr>
      </w:pPr>
      <w:r>
        <w:rPr>
          <w:rFonts w:ascii="Garamond" w:hAnsi="Garamond"/>
          <w:lang w:val="en-US"/>
        </w:rPr>
        <w:t>The proposed approach for Indonesia’s border regions therefore takes the form of multi-level harmonization. At the international level, ICESCR and other relevant treaties such as the Convention on the Rights of the Child establish universal obligations. These must be explicitly incorporated into national law, not only in declaratory form but in actionable provisions. One way to achieve this is through the adoption of implementing regulations that translate treaty obligations into measurable national targets—for example, requiring each district, including border districts, to achieve minimum standards for availability of schools, teacher-student ratios, and access to learning materials. This aligns international law with enforceable national obligations.</w:t>
      </w:r>
    </w:p>
    <w:p w14:paraId="320431D4" w14:textId="77777777" w:rsidR="00DF11B2" w:rsidRDefault="00000000">
      <w:pPr>
        <w:pStyle w:val="NoSpacing"/>
        <w:ind w:firstLineChars="327" w:firstLine="719"/>
        <w:jc w:val="both"/>
        <w:rPr>
          <w:rFonts w:ascii="Garamond" w:hAnsi="Garamond"/>
          <w:lang w:val="en-US"/>
        </w:rPr>
      </w:pPr>
      <w:r>
        <w:rPr>
          <w:rFonts w:ascii="Garamond" w:hAnsi="Garamond"/>
          <w:lang w:val="en-US"/>
        </w:rPr>
        <w:t>At the national level, the Constitution and the UU Sisdiknas must provide the enabling framework for resources and authority to be effectively distributed. Harmonization here requires two directions: upward alignment with international standards and downward empowerment of local governments. The constitutional mandate of allocating 20 percent of the state budget to education must be operationalized in a way that addresses inequities. Instead of a uniform formula, a differentiated allocation framework could be implemented, where border and disadvantaged districts receive larger per-student funding to compensate for their unique challenges. This would prevent the current situation in which most resources are absorbed by urban centers, leaving border schools with inadequate facilities and unqualified teachers.</w:t>
      </w:r>
    </w:p>
    <w:p w14:paraId="65F85EBD" w14:textId="77777777" w:rsidR="00DF11B2" w:rsidRDefault="00000000">
      <w:pPr>
        <w:pStyle w:val="NoSpacing"/>
        <w:ind w:firstLineChars="327" w:firstLine="719"/>
        <w:jc w:val="both"/>
        <w:rPr>
          <w:rFonts w:ascii="Garamond" w:hAnsi="Garamond"/>
          <w:lang w:val="en-US"/>
        </w:rPr>
      </w:pPr>
      <w:r>
        <w:rPr>
          <w:rFonts w:ascii="Garamond" w:hAnsi="Garamond"/>
          <w:lang w:val="en-US"/>
        </w:rPr>
        <w:t>At the local level, harmonization requires that statutory and constitutional guarantees are translated into policies and practices responsive to community needs. Local governments must be given not only authority but also resources to innovate. Community participation should be institutionalized, with school committees that include local leaders, adat authorities, and parents. Education should not be seen as a one-size-fits-all project but as a process embedded in local cultures and economies. For instance, in Sambas and Kapuas Hulu, curricula could include modules on cross-border trade literacy, sustainable agriculture, and bilingual instruction in Dayak and Malay dialects. These innovations ensure that education is not perceived as alien but as integral to community life.</w:t>
      </w:r>
    </w:p>
    <w:p w14:paraId="045778DE" w14:textId="77777777" w:rsidR="00DF11B2" w:rsidRDefault="00000000">
      <w:pPr>
        <w:pStyle w:val="NoSpacing"/>
        <w:ind w:firstLineChars="327" w:firstLine="719"/>
        <w:jc w:val="both"/>
        <w:rPr>
          <w:rFonts w:ascii="Garamond" w:hAnsi="Garamond"/>
          <w:lang w:val="en-US"/>
        </w:rPr>
      </w:pPr>
      <w:r>
        <w:rPr>
          <w:rFonts w:ascii="Garamond" w:hAnsi="Garamond"/>
          <w:lang w:val="en-US"/>
        </w:rPr>
        <w:t>The principles guiding this framework are threefold. First, substantive justice: education must not only be formally declared as a right but substantively realized in the lives of children. This requires policies that address structural barriers such as distance, poverty, and teacher shortages. Substantive justice means ensuring that a child in Kapuas Hulu enjoys the same quality of education as a child in Pontianak, not only in theory but in practice. Second, social inclusion: the system must be designed to ensure that no child is excluded due to poverty, geography, language, or cultural background. Inclusion requires proactive measures, such as scholarships for poor families, free transportation for children in remote areas, and bilingual teaching for linguistically diverse populations. Third, responsiveness: the legal structure must adapt to changing local conditions, such as shifts in economic activity, migration patterns, or cultural practices. A rigid, centralized approach cannot succeed in dynamic border regions. Responsiveness demands ongoing dialogue between policymakers and communities, allowing for flexible adjustments that maintain relevance and legitimacy.</w:t>
      </w:r>
    </w:p>
    <w:p w14:paraId="2AC487F5" w14:textId="77777777" w:rsidR="00DF11B2" w:rsidRDefault="00000000">
      <w:pPr>
        <w:pStyle w:val="NoSpacing"/>
        <w:ind w:firstLineChars="327" w:firstLine="719"/>
        <w:jc w:val="both"/>
        <w:rPr>
          <w:rFonts w:ascii="Garamond" w:hAnsi="Garamond"/>
          <w:lang w:val="en-US"/>
        </w:rPr>
      </w:pPr>
      <w:r>
        <w:rPr>
          <w:rFonts w:ascii="Garamond" w:hAnsi="Garamond"/>
          <w:lang w:val="en-US"/>
        </w:rPr>
        <w:t>In operational terms, this approach requires a roadmap for implementation across normative, institutional, and social dimensions. At the normative level, harmonization demands new regulations that explicitly incorporate international commitments into national and regional education policies. These could include ministerial regulations mandating that every district provide compulsory access to education within a defined radius and requiring bilingual or vocational components in border region curricula. Legal frameworks must be revised to recognize community-based education initiatives, such as local learning centers, as legitimate and eligible for state support.</w:t>
      </w:r>
    </w:p>
    <w:p w14:paraId="50A09B65" w14:textId="77777777" w:rsidR="00DF11B2" w:rsidRDefault="00000000">
      <w:pPr>
        <w:pStyle w:val="NoSpacing"/>
        <w:ind w:firstLineChars="327" w:firstLine="719"/>
        <w:jc w:val="both"/>
        <w:rPr>
          <w:rFonts w:ascii="Garamond" w:hAnsi="Garamond"/>
          <w:lang w:val="en-US"/>
        </w:rPr>
      </w:pPr>
      <w:r>
        <w:rPr>
          <w:rFonts w:ascii="Garamond" w:hAnsi="Garamond"/>
          <w:lang w:val="en-US"/>
        </w:rPr>
        <w:t>At the institutional level, decentralization must be reformed to empower local governments while ensuring accountability. District governments should be equipped with adequate resources to build and maintain schools, recruit and train teachers, and adapt curricula to local needs. This requires targeted transfers from the central government, combined with monitoring mechanisms to ensure funds are used effectively. Cross-sectoral coordination is also critical: education policy in border regions must be linked with infrastructure development, health services, and border security, creating an integrated approach to community empowerment.</w:t>
      </w:r>
    </w:p>
    <w:p w14:paraId="3C763FEB" w14:textId="77777777" w:rsidR="00DF11B2" w:rsidRDefault="00000000">
      <w:pPr>
        <w:pStyle w:val="NoSpacing"/>
        <w:ind w:firstLineChars="327" w:firstLine="719"/>
        <w:jc w:val="both"/>
        <w:rPr>
          <w:rFonts w:ascii="Garamond" w:hAnsi="Garamond"/>
          <w:lang w:val="en-US"/>
        </w:rPr>
      </w:pPr>
      <w:r>
        <w:rPr>
          <w:rFonts w:ascii="Garamond" w:hAnsi="Garamond"/>
          <w:lang w:val="en-US"/>
        </w:rPr>
        <w:t>At the social level, community participation and empowerment are essential. Harmonization cannot succeed if policies are designed top-down without community buy-in. Local leaders, traditional institutions, and parents must be actively involved in school governance. Cultural legitimacy enhances compliance and sustainability. Integrating adat into education management can strengthen ownership, while embedding local values into curricula fosters a sense of relevance. For example, teaching local history, traditional arts, and communal values alongside national curricula can instill both national identity and local pride.</w:t>
      </w:r>
    </w:p>
    <w:p w14:paraId="1F7EE620" w14:textId="77777777" w:rsidR="00DF11B2" w:rsidRDefault="00000000">
      <w:pPr>
        <w:pStyle w:val="NoSpacing"/>
        <w:ind w:firstLineChars="327" w:firstLine="719"/>
        <w:jc w:val="both"/>
        <w:rPr>
          <w:rFonts w:ascii="Garamond" w:hAnsi="Garamond"/>
          <w:lang w:val="en-US"/>
        </w:rPr>
      </w:pPr>
      <w:r>
        <w:rPr>
          <w:rFonts w:ascii="Garamond" w:hAnsi="Garamond"/>
          <w:lang w:val="en-US"/>
        </w:rPr>
        <w:t>The contribution of comparative insights is significant here. Malaysia’s emphasis on vocational and practical education in rural areas shows the importance of aligning schooling with economic realities. The Philippines demonstrates how integrating indigenous languages and values into curricula fosters inclusivity and reduces dropout rates. Thailand’s flexible cross-border education illustrates how policies can adapt to migration and transnational realities. These examples suggest that Indonesia should not fear diversity in education but embrace it as a source of strength. Harmonization does not mean imposing uniformity; it means creating coherence while allowing contextual flexibility.</w:t>
      </w:r>
    </w:p>
    <w:p w14:paraId="624F259A" w14:textId="77777777" w:rsidR="00DF11B2" w:rsidRDefault="00000000">
      <w:pPr>
        <w:pStyle w:val="NoSpacing"/>
        <w:ind w:firstLineChars="327" w:firstLine="719"/>
        <w:jc w:val="both"/>
        <w:rPr>
          <w:rFonts w:ascii="Garamond" w:hAnsi="Garamond"/>
          <w:lang w:val="en-US"/>
        </w:rPr>
      </w:pPr>
      <w:r>
        <w:rPr>
          <w:rFonts w:ascii="Garamond" w:hAnsi="Garamond"/>
          <w:lang w:val="en-US"/>
        </w:rPr>
        <w:t>Integrating these insights highlights how acknowledging and institutionalizing adat can enhance compliance. In the border context, adat leaders can serve as bridges between state law and community practices. Their involvement in education management legitimizes state initiatives and ensures cultural resonance. Moreover, recognizing community-based schools or informal learning groups organized by local adat institutions as part of the formal system can help close gaps in availability and accessibility.</w:t>
      </w:r>
    </w:p>
    <w:p w14:paraId="116265D5" w14:textId="77777777" w:rsidR="00DF11B2" w:rsidRDefault="00000000">
      <w:pPr>
        <w:pStyle w:val="NoSpacing"/>
        <w:ind w:firstLineChars="327" w:firstLine="719"/>
        <w:jc w:val="both"/>
        <w:rPr>
          <w:rFonts w:ascii="Garamond" w:hAnsi="Garamond"/>
          <w:lang w:val="en-US"/>
        </w:rPr>
      </w:pPr>
      <w:r>
        <w:rPr>
          <w:rFonts w:ascii="Garamond" w:hAnsi="Garamond"/>
          <w:lang w:val="en-US"/>
        </w:rPr>
        <w:t>Constructing a multi-level and contextual framework thus requires vision and pragmatism. Vision, because it must imagine education law as more than a set of texts—it must be a living instrument capable of transforming social realities. Pragmatism, because it must be translated into concrete steps across normative, institutional, and social dimensions. The border regions of West Kalimantan demand this dual approach. Without harmonization, education rights remain rhetorical, disparities widen, and communities turn to foreign institutions. With harmonization, however, Indonesia can not only fulfill its international obligations but also strengthen national unity, empower border communities, and demonstrate that law can indeed be both just and effective.</w:t>
      </w:r>
    </w:p>
    <w:p w14:paraId="06E94A8A" w14:textId="77777777" w:rsidR="00DF11B2" w:rsidRDefault="00DF11B2">
      <w:pPr>
        <w:pStyle w:val="NoSpacing"/>
        <w:ind w:firstLineChars="327" w:firstLine="719"/>
        <w:jc w:val="both"/>
        <w:rPr>
          <w:rFonts w:ascii="Garamond" w:hAnsi="Garamond"/>
          <w:lang w:val="en-US"/>
        </w:rPr>
      </w:pPr>
    </w:p>
    <w:p w14:paraId="3EDD3F6A" w14:textId="77777777" w:rsidR="00DF11B2" w:rsidRDefault="00000000">
      <w:pPr>
        <w:pStyle w:val="NoSpacing"/>
        <w:jc w:val="both"/>
        <w:rPr>
          <w:rFonts w:ascii="Garamond" w:hAnsi="Garamond"/>
          <w:b/>
          <w:bCs/>
          <w:lang w:val="en-US"/>
        </w:rPr>
      </w:pPr>
      <w:r>
        <w:rPr>
          <w:rFonts w:ascii="Garamond" w:hAnsi="Garamond"/>
          <w:b/>
          <w:bCs/>
          <w:lang w:val="en-US"/>
        </w:rPr>
        <w:t xml:space="preserve">Conclusion </w:t>
      </w:r>
    </w:p>
    <w:p w14:paraId="48D69096" w14:textId="77777777" w:rsidR="00DF11B2" w:rsidRDefault="00000000">
      <w:pPr>
        <w:spacing w:after="0" w:line="240" w:lineRule="auto"/>
        <w:ind w:firstLine="340"/>
        <w:jc w:val="both"/>
        <w:rPr>
          <w:rFonts w:ascii="Garamond" w:hAnsi="Garamond"/>
          <w:spacing w:val="-6"/>
          <w:sz w:val="22"/>
          <w:szCs w:val="22"/>
        </w:rPr>
      </w:pPr>
      <w:r>
        <w:rPr>
          <w:rFonts w:ascii="Garamond" w:hAnsi="Garamond"/>
          <w:spacing w:val="-6"/>
          <w:sz w:val="22"/>
          <w:szCs w:val="22"/>
          <w:lang w:val="id-ID"/>
        </w:rPr>
        <w:t>This research reveals that the fulfillment of education rights in the West Kalimantan borderlands is severely hindered by a persistent normative gap, fragmented decentralization, and critical structural and socio-economic barriers, which drive students to seek better educational opportunities in neighboring Sarawak, Malaysia. By evaluating these systemic disparities through a normative juridical method infused with Satjipto Rahardjo’s progressive law and the Islamic framework of Maqasid al-Shariah—specifically Hifdh al-'Aql (the preservation of intellect)—this study contributes uniquely to legal scholarship by establishing a multi-level, contextual framework that bridges top-down international commitments with bottom-up local social realities and traditional adat values. Culturally, the primary limitation of this research lies in its reliance on secondary legal materials and existing qualitative datasets, leaving a gap in direct, real-time empirical observations of evolving post-decentralization field dynamics across specific border cross-points. Practically, this framework can be directly applied by regional and central policymakers to design differentiated fiscal allocation policies, incorporate cross-border vocational and bilingual curricula, and institutionalize community-based education models. Moving forward, future studies should pursue empirical socio-legal research and field-based quantitative assessments to measure the direct impact of local adat-driven school governance on reducing dropout rates and lowering cross-border student migration.</w:t>
      </w:r>
    </w:p>
    <w:p w14:paraId="6A75A47B" w14:textId="77777777" w:rsidR="00DF11B2" w:rsidRDefault="00DF11B2">
      <w:pPr>
        <w:pStyle w:val="NoSpacing"/>
        <w:jc w:val="both"/>
        <w:rPr>
          <w:rFonts w:ascii="Garamond" w:hAnsi="Garamond"/>
          <w:b/>
          <w:bCs/>
          <w:lang w:val="en-US"/>
        </w:rPr>
      </w:pPr>
    </w:p>
    <w:p w14:paraId="3E33E24B" w14:textId="77777777" w:rsidR="00DF11B2" w:rsidRDefault="00000000">
      <w:pPr>
        <w:spacing w:after="0" w:line="240" w:lineRule="auto"/>
        <w:jc w:val="both"/>
        <w:rPr>
          <w:rFonts w:ascii="Garamond" w:hAnsi="Garamond"/>
          <w:b/>
          <w:bCs/>
        </w:rPr>
      </w:pPr>
      <w:r>
        <w:rPr>
          <w:rFonts w:ascii="Garamond" w:hAnsi="Garamond"/>
          <w:b/>
          <w:bCs/>
        </w:rPr>
        <w:t>Acknowledgement</w:t>
      </w:r>
    </w:p>
    <w:p w14:paraId="677D2864" w14:textId="77777777" w:rsidR="00DF11B2" w:rsidRDefault="00000000">
      <w:pPr>
        <w:spacing w:after="0" w:line="240" w:lineRule="auto"/>
        <w:ind w:firstLineChars="300" w:firstLine="720"/>
        <w:jc w:val="both"/>
        <w:rPr>
          <w:rFonts w:ascii="Garamond" w:hAnsi="Garamond"/>
        </w:rPr>
      </w:pPr>
      <w:r>
        <w:rPr>
          <w:rFonts w:ascii="Garamond" w:hAnsi="Garamond"/>
        </w:rPr>
        <w:t xml:space="preserve">The authors express their gratitude to all colleagues who provided administrative support and valuable feedback during the preparation of this manuscript. </w:t>
      </w:r>
    </w:p>
    <w:p w14:paraId="478379AA" w14:textId="77777777" w:rsidR="00DF11B2" w:rsidRDefault="00DF11B2">
      <w:pPr>
        <w:spacing w:after="0" w:line="240" w:lineRule="auto"/>
        <w:ind w:firstLineChars="300" w:firstLine="720"/>
        <w:jc w:val="both"/>
        <w:rPr>
          <w:rFonts w:ascii="Garamond" w:hAnsi="Garamond"/>
        </w:rPr>
      </w:pPr>
    </w:p>
    <w:p w14:paraId="19DF59D5" w14:textId="77777777" w:rsidR="00DF11B2" w:rsidRDefault="00000000">
      <w:pPr>
        <w:spacing w:after="0" w:line="240" w:lineRule="auto"/>
        <w:jc w:val="both"/>
        <w:rPr>
          <w:rFonts w:ascii="Garamond" w:hAnsi="Garamond"/>
          <w:b/>
          <w:bCs/>
        </w:rPr>
      </w:pPr>
      <w:r>
        <w:rPr>
          <w:rFonts w:ascii="Garamond" w:hAnsi="Garamond"/>
          <w:b/>
          <w:bCs/>
        </w:rPr>
        <w:t xml:space="preserve">Author Contributions Statement </w:t>
      </w:r>
    </w:p>
    <w:p w14:paraId="28860983" w14:textId="77777777" w:rsidR="00DF11B2" w:rsidRDefault="00000000">
      <w:pPr>
        <w:spacing w:after="0" w:line="240" w:lineRule="auto"/>
        <w:ind w:firstLineChars="300" w:firstLine="720"/>
        <w:jc w:val="both"/>
        <w:rPr>
          <w:rFonts w:ascii="Garamond" w:hAnsi="Garamond"/>
        </w:rPr>
      </w:pPr>
      <w:r>
        <w:rPr>
          <w:rFonts w:ascii="Garamond" w:hAnsi="Garamond"/>
        </w:rPr>
        <w:t xml:space="preserve">ER conceived the research framework and drafted the manuscript, while SH collected the legal materials and structured the analysis. </w:t>
      </w:r>
    </w:p>
    <w:p w14:paraId="3927A4DB" w14:textId="77777777" w:rsidR="00DF11B2" w:rsidRDefault="00DF11B2">
      <w:pPr>
        <w:spacing w:after="0" w:line="240" w:lineRule="auto"/>
        <w:ind w:firstLineChars="300" w:firstLine="720"/>
        <w:jc w:val="both"/>
        <w:rPr>
          <w:rFonts w:ascii="Garamond" w:hAnsi="Garamond"/>
        </w:rPr>
      </w:pPr>
    </w:p>
    <w:p w14:paraId="40EC3D3A" w14:textId="77777777" w:rsidR="00DF11B2" w:rsidRDefault="00000000">
      <w:pPr>
        <w:spacing w:after="0" w:line="240" w:lineRule="auto"/>
        <w:jc w:val="both"/>
        <w:rPr>
          <w:rFonts w:ascii="Garamond" w:hAnsi="Garamond"/>
          <w:b/>
          <w:bCs/>
        </w:rPr>
      </w:pPr>
      <w:r>
        <w:rPr>
          <w:rFonts w:ascii="Garamond" w:hAnsi="Garamond"/>
          <w:b/>
          <w:bCs/>
        </w:rPr>
        <w:t xml:space="preserve">AI Usage Statement </w:t>
      </w:r>
    </w:p>
    <w:p w14:paraId="41F5A17A" w14:textId="615B7BBB" w:rsidR="00DF11B2" w:rsidRDefault="00000000">
      <w:pPr>
        <w:spacing w:after="0" w:line="240" w:lineRule="auto"/>
        <w:ind w:firstLineChars="300" w:firstLine="720"/>
        <w:jc w:val="both"/>
        <w:rPr>
          <w:rFonts w:ascii="Garamond" w:hAnsi="Garamond"/>
          <w:spacing w:val="-6"/>
          <w:sz w:val="22"/>
          <w:szCs w:val="22"/>
        </w:rPr>
      </w:pPr>
      <w:r>
        <w:rPr>
          <w:rFonts w:ascii="Garamond" w:hAnsi="Garamond"/>
        </w:rPr>
        <w:t>The authors declare that no Artificial Intelligence tools were utilized at any stage of this research for text generation, data analysis, or manuscript preparation.</w:t>
      </w:r>
    </w:p>
    <w:p w14:paraId="0740A322" w14:textId="77777777" w:rsidR="00DF11B2" w:rsidRDefault="00DF11B2">
      <w:pPr>
        <w:pStyle w:val="NoSpacing"/>
        <w:jc w:val="both"/>
        <w:rPr>
          <w:rFonts w:ascii="Garamond" w:hAnsi="Garamond"/>
          <w:b/>
          <w:bCs/>
          <w:lang w:val="en-US"/>
        </w:rPr>
      </w:pPr>
    </w:p>
    <w:p w14:paraId="55BF12B6" w14:textId="77777777" w:rsidR="00DF11B2" w:rsidRDefault="00000000">
      <w:pPr>
        <w:pStyle w:val="NoSpacing"/>
        <w:jc w:val="both"/>
        <w:rPr>
          <w:rFonts w:ascii="Garamond" w:hAnsi="Garamond"/>
          <w:b/>
          <w:bCs/>
          <w:lang w:val="en-US"/>
        </w:rPr>
      </w:pPr>
      <w:r>
        <w:rPr>
          <w:rFonts w:ascii="Garamond" w:hAnsi="Garamond"/>
          <w:b/>
          <w:bCs/>
          <w:lang w:val="en-US"/>
        </w:rPr>
        <w:t xml:space="preserve">Conflict </w:t>
      </w:r>
      <w:r>
        <w:rPr>
          <w:rFonts w:ascii="Garamond" w:hAnsi="Garamond"/>
          <w:b/>
          <w:bCs/>
        </w:rPr>
        <w:t>o</w:t>
      </w:r>
      <w:r>
        <w:rPr>
          <w:rFonts w:ascii="Garamond" w:hAnsi="Garamond"/>
          <w:b/>
          <w:bCs/>
          <w:lang w:val="en-US"/>
        </w:rPr>
        <w:t>f Interest</w:t>
      </w:r>
    </w:p>
    <w:p w14:paraId="1E3DB546" w14:textId="77777777" w:rsidR="00DF11B2" w:rsidRDefault="00000000">
      <w:pPr>
        <w:spacing w:after="0" w:line="240" w:lineRule="auto"/>
        <w:ind w:firstLine="340"/>
        <w:jc w:val="both"/>
        <w:rPr>
          <w:rFonts w:ascii="Garamond" w:hAnsi="Garamond"/>
          <w:spacing w:val="-6"/>
          <w:sz w:val="22"/>
          <w:szCs w:val="22"/>
        </w:rPr>
      </w:pPr>
      <w:r>
        <w:rPr>
          <w:rFonts w:ascii="Garamond" w:hAnsi="Garamond"/>
          <w:spacing w:val="-6"/>
          <w:sz w:val="22"/>
          <w:szCs w:val="22"/>
        </w:rPr>
        <w:t>The authors declare that there is no conflict of interest regarding the publication of this article.</w:t>
      </w:r>
    </w:p>
    <w:p w14:paraId="405FFA26" w14:textId="77777777" w:rsidR="00DF11B2" w:rsidRDefault="00DF11B2">
      <w:pPr>
        <w:pStyle w:val="NoSpacing"/>
        <w:jc w:val="both"/>
        <w:rPr>
          <w:rFonts w:ascii="Garamond" w:hAnsi="Garamond"/>
          <w:b/>
          <w:bCs/>
          <w:lang w:val="en-US"/>
        </w:rPr>
      </w:pPr>
    </w:p>
    <w:p w14:paraId="1D1B4401" w14:textId="00FA6088" w:rsidR="00DF11B2" w:rsidRDefault="00000000" w:rsidP="00AC7D87">
      <w:pPr>
        <w:pStyle w:val="NoSpacing"/>
        <w:jc w:val="both"/>
        <w:rPr>
          <w:rFonts w:ascii="Garamond" w:hAnsi="Garamond"/>
          <w:b/>
          <w:bCs/>
          <w:lang w:val="en-US"/>
        </w:rPr>
      </w:pPr>
      <w:r>
        <w:rPr>
          <w:rFonts w:ascii="Garamond" w:hAnsi="Garamond"/>
          <w:b/>
          <w:bCs/>
          <w:lang w:val="en-US"/>
        </w:rPr>
        <w:t>References</w:t>
      </w:r>
    </w:p>
    <w:p w14:paraId="7647CEEB" w14:textId="04A03608"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Pr>
          <w:rFonts w:ascii="Garamond" w:hAnsi="Garamond"/>
          <w:b/>
          <w:bCs/>
        </w:rPr>
        <w:fldChar w:fldCharType="begin" w:fldLock="1"/>
      </w:r>
      <w:r>
        <w:rPr>
          <w:rFonts w:ascii="Garamond" w:hAnsi="Garamond"/>
          <w:b/>
          <w:bCs/>
        </w:rPr>
        <w:instrText xml:space="preserve">ADDIN Mendeley Bibliography CSL_BIBLIOGRAPHY </w:instrText>
      </w:r>
      <w:r>
        <w:rPr>
          <w:rFonts w:ascii="Garamond" w:hAnsi="Garamond"/>
          <w:b/>
          <w:bCs/>
        </w:rPr>
        <w:fldChar w:fldCharType="separate"/>
      </w:r>
      <w:r w:rsidRPr="00AC7D87">
        <w:rPr>
          <w:rFonts w:ascii="Garamond" w:hAnsi="Garamond" w:cs="Times New Roman"/>
          <w:noProof/>
          <w:kern w:val="0"/>
          <w:sz w:val="22"/>
        </w:rPr>
        <w:t xml:space="preserve">Afandi, Muhammad Roestam, Siswanto, and Najeem Olawale Adelakun. “Systematic Literature Review: The Role of Education in Reducing Economic Inequality and Poverty.” </w:t>
      </w:r>
      <w:r w:rsidRPr="00AC7D87">
        <w:rPr>
          <w:rFonts w:ascii="Garamond" w:hAnsi="Garamond" w:cs="Times New Roman"/>
          <w:i/>
          <w:iCs/>
          <w:noProof/>
          <w:kern w:val="0"/>
          <w:sz w:val="22"/>
        </w:rPr>
        <w:t>Sinergi International Journal of Education</w:t>
      </w:r>
      <w:r w:rsidRPr="00AC7D87">
        <w:rPr>
          <w:rFonts w:ascii="Garamond" w:hAnsi="Garamond" w:cs="Times New Roman"/>
          <w:noProof/>
          <w:kern w:val="0"/>
          <w:sz w:val="22"/>
        </w:rPr>
        <w:t xml:space="preserve"> 4, no. 1 (2026): 1–6. https://doi.org/10.61194/education.v4i1.893.</w:t>
      </w:r>
    </w:p>
    <w:p w14:paraId="3BD9F752"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Ahmad, Zaker. “Case Studies.” In </w:t>
      </w:r>
      <w:r w:rsidRPr="00AC7D87">
        <w:rPr>
          <w:rFonts w:ascii="Garamond" w:hAnsi="Garamond" w:cs="Times New Roman"/>
          <w:i/>
          <w:iCs/>
          <w:noProof/>
          <w:kern w:val="0"/>
          <w:sz w:val="22"/>
        </w:rPr>
        <w:t>The Prospects of Common Concern of Humankind in International Law</w:t>
      </w:r>
      <w:r w:rsidRPr="00AC7D87">
        <w:rPr>
          <w:rFonts w:ascii="Garamond" w:hAnsi="Garamond" w:cs="Times New Roman"/>
          <w:noProof/>
          <w:kern w:val="0"/>
          <w:sz w:val="22"/>
        </w:rPr>
        <w:t>, edited by Thomas Cottier, 93–428. Cambridge: Cambridge University Press, 2021. https://doi.org/10.1017/9781108878739.004.</w:t>
      </w:r>
    </w:p>
    <w:p w14:paraId="33F1D8A3"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Alya, Rabiatul, Veronika Tiara, Fransiska Liska, and M Zainul Hafizi. “Poverty as a Structural Barrier to Educational Equity in Indonesia.” </w:t>
      </w:r>
      <w:r w:rsidRPr="00AC7D87">
        <w:rPr>
          <w:rFonts w:ascii="Garamond" w:hAnsi="Garamond" w:cs="Times New Roman"/>
          <w:i/>
          <w:iCs/>
          <w:noProof/>
          <w:kern w:val="0"/>
          <w:sz w:val="22"/>
        </w:rPr>
        <w:t>Jurnal Ekonomi, Manajemen, Dan Bisnis</w:t>
      </w:r>
      <w:r w:rsidRPr="00AC7D87">
        <w:rPr>
          <w:rFonts w:ascii="Garamond" w:hAnsi="Garamond" w:cs="Times New Roman"/>
          <w:noProof/>
          <w:kern w:val="0"/>
          <w:sz w:val="22"/>
        </w:rPr>
        <w:t xml:space="preserve"> 2, no. 2 (2024): 51–55. https://doi.org/10.70716/emis.v2i2.291.</w:t>
      </w:r>
    </w:p>
    <w:p w14:paraId="6010A281"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Amirrachman, H R Alpha. </w:t>
      </w:r>
      <w:r w:rsidRPr="00AC7D87">
        <w:rPr>
          <w:rFonts w:ascii="Garamond" w:hAnsi="Garamond" w:cs="Times New Roman"/>
          <w:i/>
          <w:iCs/>
          <w:noProof/>
          <w:kern w:val="0"/>
          <w:sz w:val="22"/>
        </w:rPr>
        <w:t>Education Decentralisation in Indonesia: Community Participation, Market, Politics and Local Identity</w:t>
      </w:r>
      <w:r w:rsidRPr="00AC7D87">
        <w:rPr>
          <w:rFonts w:ascii="Garamond" w:hAnsi="Garamond" w:cs="Times New Roman"/>
          <w:noProof/>
          <w:kern w:val="0"/>
          <w:sz w:val="22"/>
        </w:rPr>
        <w:t>. Yogyakarta, Indonesia: Penerbit Suara Muhammadiyah in cooperation with SEAMEO Regional Open Learning Centre (SEAMOLEC), 2021. https://seamolec.org/files/other/education_decentralisation_in_indonesia_-_community_participation,_market,_politics_and_local_identity_~_r._alpha_amirrachman,_2021.pdf.</w:t>
      </w:r>
    </w:p>
    <w:p w14:paraId="79371F07"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Aulia, M Zulfa. “Hukum Progresif Dari Satjipto Rahardjo: Riwayat, Urgensi, Dan Relevansi.” </w:t>
      </w:r>
      <w:r w:rsidRPr="00AC7D87">
        <w:rPr>
          <w:rFonts w:ascii="Garamond" w:hAnsi="Garamond" w:cs="Times New Roman"/>
          <w:i/>
          <w:iCs/>
          <w:noProof/>
          <w:kern w:val="0"/>
          <w:sz w:val="22"/>
        </w:rPr>
        <w:t>Undang: Jurnal Hukum</w:t>
      </w:r>
      <w:r w:rsidRPr="00AC7D87">
        <w:rPr>
          <w:rFonts w:ascii="Garamond" w:hAnsi="Garamond" w:cs="Times New Roman"/>
          <w:noProof/>
          <w:kern w:val="0"/>
          <w:sz w:val="22"/>
        </w:rPr>
        <w:t xml:space="preserve"> 1, no. 1 (2018): 159–85. https://doi.org/10.22437/ujh.1.1.159-185.</w:t>
      </w:r>
    </w:p>
    <w:p w14:paraId="52AE4C86"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Budhiartie, Arrie, David Pradhan, Nuchraha Alhuda Hasnda, and Iswandi. “Digitized Education Delivery in Indonesia: Constitutional Right or Vacuous Sophistry?” </w:t>
      </w:r>
      <w:r w:rsidRPr="00AC7D87">
        <w:rPr>
          <w:rFonts w:ascii="Garamond" w:hAnsi="Garamond" w:cs="Times New Roman"/>
          <w:i/>
          <w:iCs/>
          <w:noProof/>
          <w:kern w:val="0"/>
          <w:sz w:val="22"/>
        </w:rPr>
        <w:t>Jambe Law Journal</w:t>
      </w:r>
      <w:r w:rsidRPr="00AC7D87">
        <w:rPr>
          <w:rFonts w:ascii="Garamond" w:hAnsi="Garamond" w:cs="Times New Roman"/>
          <w:noProof/>
          <w:kern w:val="0"/>
          <w:sz w:val="22"/>
        </w:rPr>
        <w:t xml:space="preserve"> 8, no. 1 (2025): 197–228. https://doi.org/10.22437/home.v8i1.401.</w:t>
      </w:r>
    </w:p>
    <w:p w14:paraId="03BA89A0"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Doftori, Mojibur Rahman. “Education and Child Labour in Developing Countries: A Study on the Role of Non-Governmental Organisations in Bangladesh and Nepal.” University of Helsinki, Faculty of Social Sciences, Department of Social Policy, 2004. https://core.ac.uk/download/pdf/14918829.pdf.</w:t>
      </w:r>
    </w:p>
    <w:p w14:paraId="263E638B"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Fajrianto, Muhammad Rizqi, Dhien Favian Aryanda, and Ahmad Dzaky Difari. “Reconstruction of Constitutional Responsibility in Financing Primary Education in Indonesia.” </w:t>
      </w:r>
      <w:r w:rsidRPr="00AC7D87">
        <w:rPr>
          <w:rFonts w:ascii="Garamond" w:hAnsi="Garamond" w:cs="Times New Roman"/>
          <w:i/>
          <w:iCs/>
          <w:noProof/>
          <w:kern w:val="0"/>
          <w:sz w:val="22"/>
        </w:rPr>
        <w:t>Jurnal Al Azhar Indonesia Seri Ilmu Sosial</w:t>
      </w:r>
      <w:r w:rsidRPr="00AC7D87">
        <w:rPr>
          <w:rFonts w:ascii="Garamond" w:hAnsi="Garamond" w:cs="Times New Roman"/>
          <w:noProof/>
          <w:kern w:val="0"/>
          <w:sz w:val="22"/>
        </w:rPr>
        <w:t xml:space="preserve"> 6, no. 3 (October 2025): 134–43. https://doi.org/10.36722/jaiss.v6i3.4775.</w:t>
      </w:r>
    </w:p>
    <w:p w14:paraId="427D899D"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Febrianty, Yenny, Hasliza Ghapa, and Asmida Ahmad. “Integration of Customary Law in The National Legal System: Comparative Study of Malaysia and Indonesia.” </w:t>
      </w:r>
      <w:r w:rsidRPr="00AC7D87">
        <w:rPr>
          <w:rFonts w:ascii="Garamond" w:hAnsi="Garamond" w:cs="Times New Roman"/>
          <w:i/>
          <w:iCs/>
          <w:noProof/>
          <w:kern w:val="0"/>
          <w:sz w:val="22"/>
        </w:rPr>
        <w:t>SASI</w:t>
      </w:r>
      <w:r w:rsidRPr="00AC7D87">
        <w:rPr>
          <w:rFonts w:ascii="Garamond" w:hAnsi="Garamond" w:cs="Times New Roman"/>
          <w:noProof/>
          <w:kern w:val="0"/>
          <w:sz w:val="22"/>
        </w:rPr>
        <w:t xml:space="preserve"> 30, no. 4 (December 2024): 379–401. https://doi.org/10.47268/sasi.v30i4.2303.</w:t>
      </w:r>
    </w:p>
    <w:p w14:paraId="651515C3"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Firmanto, Fakhry, Hafiz Sutrisno, and Arief Fahmi Lubis. “Constitutional Review on the State’s Obligation to Provide Equal Access to Education in Indonesia.” </w:t>
      </w:r>
      <w:r w:rsidRPr="00AC7D87">
        <w:rPr>
          <w:rFonts w:ascii="Garamond" w:hAnsi="Garamond" w:cs="Times New Roman"/>
          <w:i/>
          <w:iCs/>
          <w:noProof/>
          <w:kern w:val="0"/>
          <w:sz w:val="22"/>
        </w:rPr>
        <w:t>The Easta Journal Law and Human Rights</w:t>
      </w:r>
      <w:r w:rsidRPr="00AC7D87">
        <w:rPr>
          <w:rFonts w:ascii="Garamond" w:hAnsi="Garamond" w:cs="Times New Roman"/>
          <w:noProof/>
          <w:kern w:val="0"/>
          <w:sz w:val="22"/>
        </w:rPr>
        <w:t xml:space="preserve"> 4, no. 1 (2025): 33–42. https://doi.org/10.58812/eslhr.v4i01.782.</w:t>
      </w:r>
    </w:p>
    <w:p w14:paraId="74F0CFD9"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Ghoni, Khoirul Abror Ad-Dluha, and Artha Grace Esteria. “Socialization of Indonesia--Malaysia Bilateral Policy in The Field of Education: A Study on Sekolah Indonesia Johor Bahru (SIJB).” </w:t>
      </w:r>
      <w:r w:rsidRPr="00AC7D87">
        <w:rPr>
          <w:rFonts w:ascii="Garamond" w:hAnsi="Garamond" w:cs="Times New Roman"/>
          <w:i/>
          <w:iCs/>
          <w:noProof/>
          <w:kern w:val="0"/>
          <w:sz w:val="22"/>
        </w:rPr>
        <w:t>Khidmatuna: Jurnal Pengabdian Masyarakat</w:t>
      </w:r>
      <w:r w:rsidRPr="00AC7D87">
        <w:rPr>
          <w:rFonts w:ascii="Garamond" w:hAnsi="Garamond" w:cs="Times New Roman"/>
          <w:noProof/>
          <w:kern w:val="0"/>
          <w:sz w:val="22"/>
        </w:rPr>
        <w:t xml:space="preserve"> 4, no. 2 (2025): 39–46. https://doi.org/10.36781/khidmatuna.v4i2.1182.</w:t>
      </w:r>
    </w:p>
    <w:p w14:paraId="5562BB41"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Ibrahim, Johny. </w:t>
      </w:r>
      <w:r w:rsidRPr="00AC7D87">
        <w:rPr>
          <w:rFonts w:ascii="Garamond" w:hAnsi="Garamond" w:cs="Times New Roman"/>
          <w:i/>
          <w:iCs/>
          <w:noProof/>
          <w:kern w:val="0"/>
          <w:sz w:val="22"/>
        </w:rPr>
        <w:t>Teori Dan Metodologi Penelitian Hukum Normatif</w:t>
      </w:r>
      <w:r w:rsidRPr="00AC7D87">
        <w:rPr>
          <w:rFonts w:ascii="Garamond" w:hAnsi="Garamond" w:cs="Times New Roman"/>
          <w:noProof/>
          <w:kern w:val="0"/>
          <w:sz w:val="22"/>
        </w:rPr>
        <w:t>. Jawa Timur: Bayumedia Publishing, 2021.</w:t>
      </w:r>
    </w:p>
    <w:p w14:paraId="47B69D88"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Ilmi Nasution, Bahrul, Muhammad Saputra, Robert Kurniawan, Ahmad Ridwan, Ahmad Fudholi, and Bagus Sumargo. “Urban Vulnerability to Floods Investigation in Jakarta, Indonesia: A Hybrid Optimized Fuzzy Spatial Clustering and News Media Analysis Approach.” </w:t>
      </w:r>
      <w:r w:rsidRPr="00AC7D87">
        <w:rPr>
          <w:rFonts w:ascii="Garamond" w:hAnsi="Garamond" w:cs="Times New Roman"/>
          <w:i/>
          <w:iCs/>
          <w:noProof/>
          <w:kern w:val="0"/>
          <w:sz w:val="22"/>
        </w:rPr>
        <w:t>International Journal of Disaster Risk Reduction</w:t>
      </w:r>
      <w:r w:rsidRPr="00AC7D87">
        <w:rPr>
          <w:rFonts w:ascii="Garamond" w:hAnsi="Garamond" w:cs="Times New Roman"/>
          <w:noProof/>
          <w:kern w:val="0"/>
          <w:sz w:val="22"/>
        </w:rPr>
        <w:t xml:space="preserve"> 83 (2022): 103407. https://doi.org/10.1016/j.ijdrr.2022.103407.</w:t>
      </w:r>
    </w:p>
    <w:p w14:paraId="43C639FB"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Imran, Iwan Ramadhan, Daniel, and Suriyanisa. “Efforts to Strengthen Nationalist Character Education through Education and Community Empowerment Institutions in the Indonesia-Malaysia Borderlands.” </w:t>
      </w:r>
      <w:r w:rsidRPr="00AC7D87">
        <w:rPr>
          <w:rFonts w:ascii="Garamond" w:hAnsi="Garamond" w:cs="Times New Roman"/>
          <w:i/>
          <w:iCs/>
          <w:noProof/>
          <w:kern w:val="0"/>
          <w:sz w:val="22"/>
        </w:rPr>
        <w:t>Journal of Ecohumanism</w:t>
      </w:r>
      <w:r w:rsidRPr="00AC7D87">
        <w:rPr>
          <w:rFonts w:ascii="Garamond" w:hAnsi="Garamond" w:cs="Times New Roman"/>
          <w:noProof/>
          <w:kern w:val="0"/>
          <w:sz w:val="22"/>
        </w:rPr>
        <w:t xml:space="preserve"> 4, no. 1 (2025): 4383–95. https://doi.org/10.62754/joe.v4i1.6322.</w:t>
      </w:r>
    </w:p>
    <w:p w14:paraId="26AB2847"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International Commission of Jurists (ICJ). “Failed Implementation: Lesotho’s Inclusive Education Policy and the Continued Exclusion of Children with Disabilities,” April 2023. https://www.icj.org.</w:t>
      </w:r>
    </w:p>
    <w:p w14:paraId="0F34FA52"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Itasari, Endah Rantau. “Kewajiban Negara Indonesia Setelah Meratifikasi International Covenant on Economic Social and Cultural Rights (ICESCR).” </w:t>
      </w:r>
      <w:r w:rsidRPr="00AC7D87">
        <w:rPr>
          <w:rFonts w:ascii="Garamond" w:hAnsi="Garamond" w:cs="Times New Roman"/>
          <w:i/>
          <w:iCs/>
          <w:noProof/>
          <w:kern w:val="0"/>
          <w:sz w:val="22"/>
        </w:rPr>
        <w:t>Jurnal Komunikasi Hukum (JKH)</w:t>
      </w:r>
      <w:r w:rsidRPr="00AC7D87">
        <w:rPr>
          <w:rFonts w:ascii="Garamond" w:hAnsi="Garamond" w:cs="Times New Roman"/>
          <w:noProof/>
          <w:kern w:val="0"/>
          <w:sz w:val="22"/>
        </w:rPr>
        <w:t xml:space="preserve"> 7, no. 1 (2021): 1–9. https://doi.org/10.23887/jkh.v7i1.31451.</w:t>
      </w:r>
    </w:p>
    <w:p w14:paraId="7E73DD0C"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 “Pelaksanaan Kesesuaian Pemenuhan Hak Atas Pendidikan Dasar Dan Menengah Di Kawasan Perbatasan Di Provinsi Kalimantan Barat Berdasarkan ICESCR.” </w:t>
      </w:r>
      <w:r w:rsidRPr="00AC7D87">
        <w:rPr>
          <w:rFonts w:ascii="Garamond" w:hAnsi="Garamond" w:cs="Times New Roman"/>
          <w:i/>
          <w:iCs/>
          <w:noProof/>
          <w:kern w:val="0"/>
          <w:sz w:val="22"/>
        </w:rPr>
        <w:t>Jurnal Komunitas Yustisia</w:t>
      </w:r>
      <w:r w:rsidRPr="00AC7D87">
        <w:rPr>
          <w:rFonts w:ascii="Garamond" w:hAnsi="Garamond" w:cs="Times New Roman"/>
          <w:noProof/>
          <w:kern w:val="0"/>
          <w:sz w:val="22"/>
        </w:rPr>
        <w:t xml:space="preserve"> 5, no. 1 (March 2022): 415–34. https://doi.org/10.23887/jatayu.v5i1.47950.</w:t>
      </w:r>
    </w:p>
    <w:p w14:paraId="3DF41D94"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Itasari, Endah Rantau, Dewa Gede Sudika Mangku, Ni Putu Rai Yuliartini, Elly Kristiani Purwendah, Levina Yustitianingtyas, Francisca Romana Harjiyatni, and I Gusti Made Arya Suta Wirawan. “Indonesia’s Role in Fulfilling the Right to Education Elementary and Intermediate in Border Areas.” </w:t>
      </w:r>
      <w:r w:rsidRPr="00AC7D87">
        <w:rPr>
          <w:rFonts w:ascii="Garamond" w:hAnsi="Garamond" w:cs="Times New Roman"/>
          <w:i/>
          <w:iCs/>
          <w:noProof/>
          <w:kern w:val="0"/>
          <w:sz w:val="22"/>
        </w:rPr>
        <w:t>International Journal of Criminology and Sociology</w:t>
      </w:r>
      <w:r w:rsidRPr="00AC7D87">
        <w:rPr>
          <w:rFonts w:ascii="Garamond" w:hAnsi="Garamond" w:cs="Times New Roman"/>
          <w:noProof/>
          <w:kern w:val="0"/>
          <w:sz w:val="22"/>
        </w:rPr>
        <w:t xml:space="preserve"> 10 (2021): 984–91. https://doi.org/10.6000/1929-4409.2021.10.116.</w:t>
      </w:r>
    </w:p>
    <w:p w14:paraId="591F994C"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Khofi, Mohammad Bilutfikal. “Review of Non-Discrimination Law in Education in Indonesia: Analysis Based on the Convention on the Rights of the Child.” </w:t>
      </w:r>
      <w:r w:rsidRPr="00AC7D87">
        <w:rPr>
          <w:rFonts w:ascii="Garamond" w:hAnsi="Garamond" w:cs="Times New Roman"/>
          <w:i/>
          <w:iCs/>
          <w:noProof/>
          <w:kern w:val="0"/>
          <w:sz w:val="22"/>
        </w:rPr>
        <w:t>Rechtsvinding</w:t>
      </w:r>
      <w:r w:rsidRPr="00AC7D87">
        <w:rPr>
          <w:rFonts w:ascii="Garamond" w:hAnsi="Garamond" w:cs="Times New Roman"/>
          <w:noProof/>
          <w:kern w:val="0"/>
          <w:sz w:val="22"/>
        </w:rPr>
        <w:t xml:space="preserve"> 2, no. 2 (2024): 59–66. https://doi.org/10.59525/rechtsvinding.v2i2.413.</w:t>
      </w:r>
    </w:p>
    <w:p w14:paraId="2C48CCFB"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Lee, Jootaek. “The Human Right to Education: Definition, Research and Annotated Bibliography.” </w:t>
      </w:r>
      <w:r w:rsidRPr="00AC7D87">
        <w:rPr>
          <w:rFonts w:ascii="Garamond" w:hAnsi="Garamond" w:cs="Times New Roman"/>
          <w:i/>
          <w:iCs/>
          <w:noProof/>
          <w:kern w:val="0"/>
          <w:sz w:val="22"/>
        </w:rPr>
        <w:t>Emory International Law Review</w:t>
      </w:r>
      <w:r w:rsidRPr="00AC7D87">
        <w:rPr>
          <w:rFonts w:ascii="Garamond" w:hAnsi="Garamond" w:cs="Times New Roman"/>
          <w:noProof/>
          <w:kern w:val="0"/>
          <w:sz w:val="22"/>
        </w:rPr>
        <w:t xml:space="preserve"> 34, no. 3 (2020): 757–823. https://scholarlycommons.law.emory.edu/eilr/vol34/iss3/2.</w:t>
      </w:r>
    </w:p>
    <w:p w14:paraId="7FEC80E3"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Muchtarom, Achmad, and Azis Budianto. “Progressive Legal Reform as an Effort to Address Inequality in Law Enforcement and Strengthen Social Cohesion in Indonesia.” </w:t>
      </w:r>
      <w:r w:rsidRPr="00AC7D87">
        <w:rPr>
          <w:rFonts w:ascii="Garamond" w:hAnsi="Garamond" w:cs="Times New Roman"/>
          <w:i/>
          <w:iCs/>
          <w:noProof/>
          <w:kern w:val="0"/>
          <w:sz w:val="22"/>
        </w:rPr>
        <w:t>Jurnal Greenation Sosial Dan Politik</w:t>
      </w:r>
      <w:r w:rsidRPr="00AC7D87">
        <w:rPr>
          <w:rFonts w:ascii="Garamond" w:hAnsi="Garamond" w:cs="Times New Roman"/>
          <w:noProof/>
          <w:kern w:val="0"/>
          <w:sz w:val="22"/>
        </w:rPr>
        <w:t xml:space="preserve"> 3, no. 4 (2025): 866–74. https://doi.org/10.38035/jgsp.v3i4.508.</w:t>
      </w:r>
    </w:p>
    <w:p w14:paraId="2F197E26"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OECD, and Asian Development Bank. </w:t>
      </w:r>
      <w:r w:rsidRPr="00AC7D87">
        <w:rPr>
          <w:rFonts w:ascii="Garamond" w:hAnsi="Garamond" w:cs="Times New Roman"/>
          <w:i/>
          <w:iCs/>
          <w:noProof/>
          <w:kern w:val="0"/>
          <w:sz w:val="22"/>
        </w:rPr>
        <w:t>Education in Indonesia: Rising to the Challenge</w:t>
      </w:r>
      <w:r w:rsidRPr="00AC7D87">
        <w:rPr>
          <w:rFonts w:ascii="Garamond" w:hAnsi="Garamond" w:cs="Times New Roman"/>
          <w:noProof/>
          <w:kern w:val="0"/>
          <w:sz w:val="22"/>
        </w:rPr>
        <w:t>. Paris: OECD Publishing, 2015. https://doi.org/10.1787/9789264230750-en.</w:t>
      </w:r>
    </w:p>
    <w:p w14:paraId="0009510C"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Pabbajah, Mustaqim, Juhansar Juhansar, Ratri Nurina Widyanti, Widi Fajar Widyatmoko, and Mohammad Faizal Al Ghozali. “Integrating Local Culture in Higher Education: Foundation of Indonesia’s National Identity.” </w:t>
      </w:r>
      <w:r w:rsidRPr="00AC7D87">
        <w:rPr>
          <w:rFonts w:ascii="Garamond" w:hAnsi="Garamond" w:cs="Times New Roman"/>
          <w:i/>
          <w:iCs/>
          <w:noProof/>
          <w:kern w:val="0"/>
          <w:sz w:val="22"/>
        </w:rPr>
        <w:t>Proceeding of the International Conference on Global Education and Learning</w:t>
      </w:r>
      <w:r w:rsidRPr="00AC7D87">
        <w:rPr>
          <w:rFonts w:ascii="Garamond" w:hAnsi="Garamond" w:cs="Times New Roman"/>
          <w:noProof/>
          <w:kern w:val="0"/>
          <w:sz w:val="22"/>
        </w:rPr>
        <w:t xml:space="preserve"> 2, no. 2 (2025): 60–69. https://doi.org/10.62951/icgel.v2i2.171.</w:t>
      </w:r>
    </w:p>
    <w:p w14:paraId="0076F9A7"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Paulina, and Susi Adiawaty. “Fiscal Transfers and the Persistence of Regional Inequality: A Critical Review of Indonesia’s Intergovernmental Funding System.” </w:t>
      </w:r>
      <w:r w:rsidRPr="00AC7D87">
        <w:rPr>
          <w:rFonts w:ascii="Garamond" w:hAnsi="Garamond" w:cs="Times New Roman"/>
          <w:i/>
          <w:iCs/>
          <w:noProof/>
          <w:kern w:val="0"/>
          <w:sz w:val="22"/>
        </w:rPr>
        <w:t>Moneta: Journal of Economics and Finance</w:t>
      </w:r>
      <w:r w:rsidRPr="00AC7D87">
        <w:rPr>
          <w:rFonts w:ascii="Garamond" w:hAnsi="Garamond" w:cs="Times New Roman"/>
          <w:noProof/>
          <w:kern w:val="0"/>
          <w:sz w:val="22"/>
        </w:rPr>
        <w:t xml:space="preserve"> 3, no. 4 (2025): 283–96. https://doi.org/10.61978/moneta.v3i4.822.</w:t>
      </w:r>
    </w:p>
    <w:p w14:paraId="6F54294C"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Rahardjo, Satjipto. </w:t>
      </w:r>
      <w:r w:rsidRPr="00AC7D87">
        <w:rPr>
          <w:rFonts w:ascii="Garamond" w:hAnsi="Garamond" w:cs="Times New Roman"/>
          <w:i/>
          <w:iCs/>
          <w:noProof/>
          <w:kern w:val="0"/>
          <w:sz w:val="22"/>
        </w:rPr>
        <w:t>Hukum Progresif: Sebuah Sintesa Hukum Indonesia</w:t>
      </w:r>
      <w:r w:rsidRPr="00AC7D87">
        <w:rPr>
          <w:rFonts w:ascii="Garamond" w:hAnsi="Garamond" w:cs="Times New Roman"/>
          <w:noProof/>
          <w:kern w:val="0"/>
          <w:sz w:val="22"/>
        </w:rPr>
        <w:t>. Yogyakarta: Genta Publishing, 2009.</w:t>
      </w:r>
    </w:p>
    <w:p w14:paraId="0AC147DC"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Ramadhan, Fadjri, Muhammad Hidayat, and Neng Murialti. “Analysis of Development Inequality Between Regions in Java and Bali: Economic Spatial Approach.” </w:t>
      </w:r>
      <w:r w:rsidRPr="00AC7D87">
        <w:rPr>
          <w:rFonts w:ascii="Garamond" w:hAnsi="Garamond" w:cs="Times New Roman"/>
          <w:i/>
          <w:iCs/>
          <w:noProof/>
          <w:kern w:val="0"/>
          <w:sz w:val="22"/>
        </w:rPr>
        <w:t>COMSERVA: Jurnal Penelitian Dan Pengabdian Masyarakat</w:t>
      </w:r>
      <w:r w:rsidRPr="00AC7D87">
        <w:rPr>
          <w:rFonts w:ascii="Garamond" w:hAnsi="Garamond" w:cs="Times New Roman"/>
          <w:noProof/>
          <w:kern w:val="0"/>
          <w:sz w:val="22"/>
        </w:rPr>
        <w:t xml:space="preserve"> 3, no. 11 (2024): 4497–4507. https://comserva.publikasiindonesia.id/index.php/comserva/article/view/1240.</w:t>
      </w:r>
    </w:p>
    <w:p w14:paraId="33EE793F"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Rupita, Rupita. “Analysis of the Situation of Education in Indonesia-Malaysia Border Region (Studies in Puring Kencana, Kapuas Hulu Regency, West Kalimantan).” </w:t>
      </w:r>
      <w:r w:rsidRPr="00AC7D87">
        <w:rPr>
          <w:rFonts w:ascii="Garamond" w:hAnsi="Garamond" w:cs="Times New Roman"/>
          <w:i/>
          <w:iCs/>
          <w:noProof/>
          <w:kern w:val="0"/>
          <w:sz w:val="22"/>
        </w:rPr>
        <w:t>Journal Community Development and Society</w:t>
      </w:r>
      <w:r w:rsidRPr="00AC7D87">
        <w:rPr>
          <w:rFonts w:ascii="Garamond" w:hAnsi="Garamond" w:cs="Times New Roman"/>
          <w:noProof/>
          <w:kern w:val="0"/>
          <w:sz w:val="22"/>
        </w:rPr>
        <w:t xml:space="preserve"> 1 (2019). https://doi.org/10.25139/cds.v1i1.1622.</w:t>
      </w:r>
    </w:p>
    <w:p w14:paraId="5EAE33D0"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Şahin, Ayşe, Dilek Soylu, and Mohammadbagher Jafari. “Professional Development Needs of Teachers in Rural Schools.” </w:t>
      </w:r>
      <w:r w:rsidRPr="00AC7D87">
        <w:rPr>
          <w:rFonts w:ascii="Garamond" w:hAnsi="Garamond" w:cs="Times New Roman"/>
          <w:i/>
          <w:iCs/>
          <w:noProof/>
          <w:kern w:val="0"/>
          <w:sz w:val="22"/>
        </w:rPr>
        <w:t>Iranian Journal of Educational Sociology</w:t>
      </w:r>
      <w:r w:rsidRPr="00AC7D87">
        <w:rPr>
          <w:rFonts w:ascii="Garamond" w:hAnsi="Garamond" w:cs="Times New Roman"/>
          <w:noProof/>
          <w:kern w:val="0"/>
          <w:sz w:val="22"/>
        </w:rPr>
        <w:t xml:space="preserve"> 7, no. 1 (2024): 219–25. https://doi.org/10.61838/kman.ijes.7.1.22.</w:t>
      </w:r>
    </w:p>
    <w:p w14:paraId="5C0688CE"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Sikwan, Agus, Muhammad Sabran, Elyta, and Ratu Zahirah Lutfie. “Potential and Challenges in Community Empowerment in the West Kalimantan Border Area.” </w:t>
      </w:r>
      <w:r w:rsidRPr="00AC7D87">
        <w:rPr>
          <w:rFonts w:ascii="Garamond" w:hAnsi="Garamond" w:cs="Times New Roman"/>
          <w:i/>
          <w:iCs/>
          <w:noProof/>
          <w:kern w:val="0"/>
          <w:sz w:val="22"/>
        </w:rPr>
        <w:t>International Journal of Social Science And Human Research</w:t>
      </w:r>
      <w:r w:rsidRPr="00AC7D87">
        <w:rPr>
          <w:rFonts w:ascii="Garamond" w:hAnsi="Garamond" w:cs="Times New Roman"/>
          <w:noProof/>
          <w:kern w:val="0"/>
          <w:sz w:val="22"/>
        </w:rPr>
        <w:t xml:space="preserve"> 6, no. 10 (2023): 6368–73. https://doi.org/10.47191/ijsshr/v6-i10-76.</w:t>
      </w:r>
    </w:p>
    <w:p w14:paraId="01BB234D"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Siregar, Fritz Edward. “Sekolah Rakyat and the Fulfillment of the Right to Education: From a Constitutional Law Perspective.” </w:t>
      </w:r>
      <w:r w:rsidRPr="00AC7D87">
        <w:rPr>
          <w:rFonts w:ascii="Garamond" w:hAnsi="Garamond" w:cs="Times New Roman"/>
          <w:i/>
          <w:iCs/>
          <w:noProof/>
          <w:kern w:val="0"/>
          <w:sz w:val="22"/>
        </w:rPr>
        <w:t>Jurnal Ius Constituendum</w:t>
      </w:r>
      <w:r w:rsidRPr="00AC7D87">
        <w:rPr>
          <w:rFonts w:ascii="Garamond" w:hAnsi="Garamond" w:cs="Times New Roman"/>
          <w:noProof/>
          <w:kern w:val="0"/>
          <w:sz w:val="22"/>
        </w:rPr>
        <w:t xml:space="preserve"> 11, no. 1 (2026): 218–36. https://doi.org/10.26623/jic.v10i3.13243.</w:t>
      </w:r>
    </w:p>
    <w:p w14:paraId="0345F9FF"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Sujana, I Gede, Ande Ana Konda, Febliana Dapa, and Eldiyanto Tadu Niga. “Free Basic Education Between Constitutional Norm and Implementation Realities.” </w:t>
      </w:r>
      <w:r w:rsidRPr="00AC7D87">
        <w:rPr>
          <w:rFonts w:ascii="Garamond" w:hAnsi="Garamond" w:cs="Times New Roman"/>
          <w:i/>
          <w:iCs/>
          <w:noProof/>
          <w:kern w:val="0"/>
          <w:sz w:val="22"/>
        </w:rPr>
        <w:t>International Journal of Education and Social Science Studies</w:t>
      </w:r>
      <w:r w:rsidRPr="00AC7D87">
        <w:rPr>
          <w:rFonts w:ascii="Garamond" w:hAnsi="Garamond" w:cs="Times New Roman"/>
          <w:noProof/>
          <w:kern w:val="0"/>
          <w:sz w:val="22"/>
        </w:rPr>
        <w:t xml:space="preserve"> 1, no. 2 (2025): 61–68. https://doi.org/10.60153/ijesss.v1i2.193.</w:t>
      </w:r>
    </w:p>
    <w:p w14:paraId="2E9467E2"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Surya, Iman, Budiman, Tengku Imam Syarifuddin, and Niken Nurmiyati. “Dampak Desentralisasi Terhadap Pelayanan Pendidikan Di Daerah Perbatasan Kalimantan.” </w:t>
      </w:r>
      <w:r w:rsidRPr="00AC7D87">
        <w:rPr>
          <w:rFonts w:ascii="Garamond" w:hAnsi="Garamond" w:cs="Times New Roman"/>
          <w:i/>
          <w:iCs/>
          <w:noProof/>
          <w:kern w:val="0"/>
          <w:sz w:val="22"/>
        </w:rPr>
        <w:t>Jurnal Agregasi: Jurnal Aksi Reformasi Government Dalam Demokrasi</w:t>
      </w:r>
      <w:r w:rsidRPr="00AC7D87">
        <w:rPr>
          <w:rFonts w:ascii="Garamond" w:hAnsi="Garamond" w:cs="Times New Roman"/>
          <w:noProof/>
          <w:kern w:val="0"/>
          <w:sz w:val="22"/>
        </w:rPr>
        <w:t xml:space="preserve"> 9, no. 1 (May 2021): 1–23. https://doi.org/10.34010/agregasi.v9i1.4121.</w:t>
      </w:r>
    </w:p>
    <w:p w14:paraId="0E621514"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Sutedi, Ahmad. </w:t>
      </w:r>
      <w:r w:rsidRPr="00AC7D87">
        <w:rPr>
          <w:rFonts w:ascii="Garamond" w:hAnsi="Garamond" w:cs="Times New Roman"/>
          <w:i/>
          <w:iCs/>
          <w:noProof/>
          <w:kern w:val="0"/>
          <w:sz w:val="22"/>
        </w:rPr>
        <w:t>Metodologi Penelitian Hukum: Pendekatan Normatif Dan Socio-Legal</w:t>
      </w:r>
      <w:r w:rsidRPr="00AC7D87">
        <w:rPr>
          <w:rFonts w:ascii="Garamond" w:hAnsi="Garamond" w:cs="Times New Roman"/>
          <w:noProof/>
          <w:kern w:val="0"/>
          <w:sz w:val="22"/>
        </w:rPr>
        <w:t>. Bandung: Refika Aditama, 2020.</w:t>
      </w:r>
    </w:p>
    <w:p w14:paraId="63CF5324"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Sutiyono, and Suharno. “Reformulasi Pendidikan Pancasila Dan Kewarganegaraan Untuk Menguatkan Nasionalisme Warga Negara Muda Di Wilayah Perbatasan.” </w:t>
      </w:r>
      <w:r w:rsidRPr="00AC7D87">
        <w:rPr>
          <w:rFonts w:ascii="Garamond" w:hAnsi="Garamond" w:cs="Times New Roman"/>
          <w:i/>
          <w:iCs/>
          <w:noProof/>
          <w:kern w:val="0"/>
          <w:sz w:val="22"/>
        </w:rPr>
        <w:t>Citizenship Jurnal Pancasila Dan Kewarganegaraan</w:t>
      </w:r>
      <w:r w:rsidRPr="00AC7D87">
        <w:rPr>
          <w:rFonts w:ascii="Garamond" w:hAnsi="Garamond" w:cs="Times New Roman"/>
          <w:noProof/>
          <w:kern w:val="0"/>
          <w:sz w:val="22"/>
        </w:rPr>
        <w:t xml:space="preserve"> 6, no. 1 (2018): 1. https://doi.org/10.25273/citizenship.v6i1.1824.</w:t>
      </w:r>
    </w:p>
    <w:p w14:paraId="23B572BB"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Tangwe, Abraham Tamukum, and Patrick Kofi Benyin. “Reimagining Critical Interdisciplinarity: Shifting from the Traditional to the Transformative Paradigm in Higher Education Research and Learning.” </w:t>
      </w:r>
      <w:r w:rsidRPr="00AC7D87">
        <w:rPr>
          <w:rFonts w:ascii="Garamond" w:hAnsi="Garamond" w:cs="Times New Roman"/>
          <w:i/>
          <w:iCs/>
          <w:noProof/>
          <w:kern w:val="0"/>
          <w:sz w:val="22"/>
        </w:rPr>
        <w:t>International Journal of Scientific and Management Research</w:t>
      </w:r>
      <w:r w:rsidRPr="00AC7D87">
        <w:rPr>
          <w:rFonts w:ascii="Garamond" w:hAnsi="Garamond" w:cs="Times New Roman"/>
          <w:noProof/>
          <w:kern w:val="0"/>
          <w:sz w:val="22"/>
        </w:rPr>
        <w:t xml:space="preserve"> 8, no. 1 (January 2025): 65–98. https://doi.org/10.37502/IJSMR.2025.8104.</w:t>
      </w:r>
    </w:p>
    <w:p w14:paraId="02FF43EF"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Tawarik, Oxtapianus, Wanda Giovani, Efrika Siboro, and Yunika Upa. “An Ethnolinguistic Content of Dayak and Malay Culture in English Language Teaching: Its Impact on Students’ Reading and Speaking Proficiency.” </w:t>
      </w:r>
      <w:r w:rsidRPr="00AC7D87">
        <w:rPr>
          <w:rFonts w:ascii="Garamond" w:hAnsi="Garamond" w:cs="Times New Roman"/>
          <w:i/>
          <w:iCs/>
          <w:noProof/>
          <w:kern w:val="0"/>
          <w:sz w:val="22"/>
        </w:rPr>
        <w:t>Journal of Educational Learning and Innovation (ELIa)</w:t>
      </w:r>
      <w:r w:rsidRPr="00AC7D87">
        <w:rPr>
          <w:rFonts w:ascii="Garamond" w:hAnsi="Garamond" w:cs="Times New Roman"/>
          <w:noProof/>
          <w:kern w:val="0"/>
          <w:sz w:val="22"/>
        </w:rPr>
        <w:t xml:space="preserve"> 6, no. 1 (2026): 53–73. https://doi.org/10.46229/elia.v6i1.1099.</w:t>
      </w:r>
    </w:p>
    <w:p w14:paraId="15DDCCB1"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Trimurni, Februati, Mazdalifah, Kartini Aboo Talib, and Wiro Oktavius Ginting. “Intergovernmental Networks and Local Government Capacity for Disaster Management in North Sumatra.” </w:t>
      </w:r>
      <w:r w:rsidRPr="00AC7D87">
        <w:rPr>
          <w:rFonts w:ascii="Garamond" w:hAnsi="Garamond" w:cs="Times New Roman"/>
          <w:i/>
          <w:iCs/>
          <w:noProof/>
          <w:kern w:val="0"/>
          <w:sz w:val="22"/>
        </w:rPr>
        <w:t>Journal of Infrastructure, Policy and Development</w:t>
      </w:r>
      <w:r w:rsidRPr="00AC7D87">
        <w:rPr>
          <w:rFonts w:ascii="Garamond" w:hAnsi="Garamond" w:cs="Times New Roman"/>
          <w:noProof/>
          <w:kern w:val="0"/>
          <w:sz w:val="22"/>
        </w:rPr>
        <w:t xml:space="preserve"> 8, no. 12 (2024): 7085. https://doi.org/10.24294/jipd.v8i12.7085.</w:t>
      </w:r>
    </w:p>
    <w:p w14:paraId="790263DD"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Wardhana, Dimas. “Keadilan Progresif Dalam Konteks Multikulturalisme Indonesia.” </w:t>
      </w:r>
      <w:r w:rsidRPr="00AC7D87">
        <w:rPr>
          <w:rFonts w:ascii="Garamond" w:hAnsi="Garamond" w:cs="Times New Roman"/>
          <w:i/>
          <w:iCs/>
          <w:noProof/>
          <w:kern w:val="0"/>
          <w:sz w:val="22"/>
        </w:rPr>
        <w:t>Jurnal Hukum Progresif</w:t>
      </w:r>
      <w:r w:rsidRPr="00AC7D87">
        <w:rPr>
          <w:rFonts w:ascii="Garamond" w:hAnsi="Garamond" w:cs="Times New Roman"/>
          <w:noProof/>
          <w:kern w:val="0"/>
          <w:sz w:val="22"/>
        </w:rPr>
        <w:t xml:space="preserve"> 12, no. 2 (2023): 100–115.</w:t>
      </w:r>
    </w:p>
    <w:p w14:paraId="6BBE03A7"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Wartoyo, Franciscus Xaverius. “Harmonization of the National Education System Law No. 20 of 2003 Based on Dignified Justice.” </w:t>
      </w:r>
      <w:r w:rsidRPr="00AC7D87">
        <w:rPr>
          <w:rFonts w:ascii="Garamond" w:hAnsi="Garamond" w:cs="Times New Roman"/>
          <w:i/>
          <w:iCs/>
          <w:noProof/>
          <w:kern w:val="0"/>
          <w:sz w:val="22"/>
        </w:rPr>
        <w:t>Journal of Posthumanism</w:t>
      </w:r>
      <w:r w:rsidRPr="00AC7D87">
        <w:rPr>
          <w:rFonts w:ascii="Garamond" w:hAnsi="Garamond" w:cs="Times New Roman"/>
          <w:noProof/>
          <w:kern w:val="0"/>
          <w:sz w:val="22"/>
        </w:rPr>
        <w:t xml:space="preserve"> 5, no. 5 (2025): 2589–97. https://doi.org/10.63332/joph.v5i5.1649.</w:t>
      </w:r>
    </w:p>
    <w:p w14:paraId="739F0CEF"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Widiastuti, Ika. “Assessing the Impact of Education Policies in Indonesia: Challenges, Achievement, and Future Direction.” </w:t>
      </w:r>
      <w:r w:rsidRPr="00AC7D87">
        <w:rPr>
          <w:rFonts w:ascii="Garamond" w:hAnsi="Garamond" w:cs="Times New Roman"/>
          <w:i/>
          <w:iCs/>
          <w:noProof/>
          <w:kern w:val="0"/>
          <w:sz w:val="22"/>
        </w:rPr>
        <w:t>Al-Ishlah: Jurnal Pendidikan</w:t>
      </w:r>
      <w:r w:rsidRPr="00AC7D87">
        <w:rPr>
          <w:rFonts w:ascii="Garamond" w:hAnsi="Garamond" w:cs="Times New Roman"/>
          <w:noProof/>
          <w:kern w:val="0"/>
          <w:sz w:val="22"/>
        </w:rPr>
        <w:t xml:space="preserve"> 17, no. 2 (June 2025): 1955–64. https://doi.org/10.35445/alishlah.v17i2.6803.</w:t>
      </w:r>
    </w:p>
    <w:p w14:paraId="37C022FD"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Yangambi, Matthieu. “Impact of School Infrastructures on Students Learning and Performance: Case of Three Public Schools in a Developing Country.” </w:t>
      </w:r>
      <w:r w:rsidRPr="00AC7D87">
        <w:rPr>
          <w:rFonts w:ascii="Garamond" w:hAnsi="Garamond" w:cs="Times New Roman"/>
          <w:i/>
          <w:iCs/>
          <w:noProof/>
          <w:kern w:val="0"/>
          <w:sz w:val="22"/>
        </w:rPr>
        <w:t>Creative Education</w:t>
      </w:r>
      <w:r w:rsidRPr="00AC7D87">
        <w:rPr>
          <w:rFonts w:ascii="Garamond" w:hAnsi="Garamond" w:cs="Times New Roman"/>
          <w:noProof/>
          <w:kern w:val="0"/>
          <w:sz w:val="22"/>
        </w:rPr>
        <w:t xml:space="preserve"> 14 (2023): 788–809. https://doi.org/10.4236/ce.2023.144052.</w:t>
      </w:r>
    </w:p>
    <w:p w14:paraId="610B089E" w14:textId="77777777" w:rsidR="00AC7D87" w:rsidRPr="00AC7D87" w:rsidRDefault="00AC7D87" w:rsidP="00BC37E1">
      <w:pPr>
        <w:widowControl w:val="0"/>
        <w:autoSpaceDE w:val="0"/>
        <w:autoSpaceDN w:val="0"/>
        <w:adjustRightInd w:val="0"/>
        <w:spacing w:after="0" w:line="240" w:lineRule="auto"/>
        <w:ind w:left="480" w:hanging="480"/>
        <w:jc w:val="both"/>
        <w:rPr>
          <w:rFonts w:ascii="Garamond" w:hAnsi="Garamond" w:cs="Times New Roman"/>
          <w:noProof/>
          <w:kern w:val="0"/>
          <w:sz w:val="22"/>
        </w:rPr>
      </w:pPr>
      <w:r w:rsidRPr="00AC7D87">
        <w:rPr>
          <w:rFonts w:ascii="Garamond" w:hAnsi="Garamond" w:cs="Times New Roman"/>
          <w:noProof/>
          <w:kern w:val="0"/>
          <w:sz w:val="22"/>
        </w:rPr>
        <w:t xml:space="preserve">Zainuddin, Muhammad, and Aisyah Dinda Karina. “Penggunaan Metode Yuridis Normatif Dalam Membuktikan Kebenaran Pada Penelitian Hukum / Use of Normative Juridical Methods in Proving the Truth in Legal Research.” </w:t>
      </w:r>
      <w:r w:rsidRPr="00AC7D87">
        <w:rPr>
          <w:rFonts w:ascii="Garamond" w:hAnsi="Garamond" w:cs="Times New Roman"/>
          <w:i/>
          <w:iCs/>
          <w:noProof/>
          <w:kern w:val="0"/>
          <w:sz w:val="22"/>
        </w:rPr>
        <w:t>Smart Law Journal</w:t>
      </w:r>
      <w:r w:rsidRPr="00AC7D87">
        <w:rPr>
          <w:rFonts w:ascii="Garamond" w:hAnsi="Garamond" w:cs="Times New Roman"/>
          <w:noProof/>
          <w:kern w:val="0"/>
          <w:sz w:val="22"/>
        </w:rPr>
        <w:t xml:space="preserve"> 2, no. 2 (2023): 114–23. http://stikesyahoedsmg.ac.id/ojs/index.php/slj.</w:t>
      </w:r>
    </w:p>
    <w:p w14:paraId="7F5684E3" w14:textId="77777777" w:rsidR="00AC7D87" w:rsidRPr="00AC7D87" w:rsidRDefault="00AC7D87" w:rsidP="00BC37E1">
      <w:pPr>
        <w:widowControl w:val="0"/>
        <w:autoSpaceDE w:val="0"/>
        <w:autoSpaceDN w:val="0"/>
        <w:adjustRightInd w:val="0"/>
        <w:spacing w:after="0" w:line="240" w:lineRule="auto"/>
        <w:ind w:left="482" w:hanging="482"/>
        <w:jc w:val="both"/>
        <w:rPr>
          <w:rFonts w:ascii="Garamond" w:hAnsi="Garamond"/>
          <w:noProof/>
          <w:sz w:val="22"/>
        </w:rPr>
      </w:pPr>
      <w:r w:rsidRPr="00AC7D87">
        <w:rPr>
          <w:rFonts w:ascii="Garamond" w:hAnsi="Garamond" w:cs="Times New Roman"/>
          <w:noProof/>
          <w:kern w:val="0"/>
          <w:sz w:val="22"/>
        </w:rPr>
        <w:t xml:space="preserve">Zein, Yahya Ahmad, Arif Rohman, and Dewi Nurvianti. “The Fulfilment of Right to Education for Persons with Disabilities: A Challenge in a Border Area.” </w:t>
      </w:r>
      <w:r w:rsidRPr="00AC7D87">
        <w:rPr>
          <w:rFonts w:ascii="Garamond" w:hAnsi="Garamond" w:cs="Times New Roman"/>
          <w:i/>
          <w:iCs/>
          <w:noProof/>
          <w:kern w:val="0"/>
          <w:sz w:val="22"/>
        </w:rPr>
        <w:t>Sriwijaya Law Review</w:t>
      </w:r>
      <w:r w:rsidRPr="00AC7D87">
        <w:rPr>
          <w:rFonts w:ascii="Garamond" w:hAnsi="Garamond" w:cs="Times New Roman"/>
          <w:noProof/>
          <w:kern w:val="0"/>
          <w:sz w:val="22"/>
        </w:rPr>
        <w:t xml:space="preserve"> 4, no. 2 (2020): 238–48. https://doi.org/10.28946/slrev.Vol4.Iss2.402.pp%25p.</w:t>
      </w:r>
    </w:p>
    <w:p w14:paraId="1C66D65D" w14:textId="1E357A44" w:rsidR="00AC7D87" w:rsidRPr="00AC7D87" w:rsidRDefault="00AC7D87" w:rsidP="00AC7D87">
      <w:pPr>
        <w:pStyle w:val="NoSpacing"/>
        <w:jc w:val="both"/>
        <w:rPr>
          <w:rFonts w:ascii="Garamond" w:hAnsi="Garamond"/>
          <w:b/>
          <w:bCs/>
          <w:lang w:val="en-US"/>
        </w:rPr>
      </w:pPr>
      <w:r>
        <w:rPr>
          <w:rFonts w:ascii="Garamond" w:hAnsi="Garamond"/>
          <w:b/>
          <w:bCs/>
          <w:lang w:val="en-US"/>
        </w:rPr>
        <w:fldChar w:fldCharType="end"/>
      </w:r>
    </w:p>
    <w:sectPr w:rsidR="00AC7D87" w:rsidRPr="00AC7D87">
      <w:headerReference w:type="default" r:id="rId13"/>
      <w:footerReference w:type="default" r:id="rId14"/>
      <w:headerReference w:type="first" r:id="rId15"/>
      <w:footerReference w:type="first" r:id="rId16"/>
      <w:pgSz w:w="11906" w:h="16838"/>
      <w:pgMar w:top="1440" w:right="1440" w:bottom="1440" w:left="1440" w:header="720" w:footer="6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FF433" w14:textId="77777777" w:rsidR="00A34A47" w:rsidRDefault="00A34A47">
      <w:pPr>
        <w:spacing w:line="240" w:lineRule="auto"/>
      </w:pPr>
      <w:r>
        <w:separator/>
      </w:r>
    </w:p>
  </w:endnote>
  <w:endnote w:type="continuationSeparator" w:id="0">
    <w:p w14:paraId="065BCEC2" w14:textId="77777777" w:rsidR="00A34A47" w:rsidRDefault="00A34A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Condensed">
    <w:panose1 w:val="020B0506020104020203"/>
    <w:charset w:val="00"/>
    <w:family w:val="swiss"/>
    <w:pitch w:val="variable"/>
    <w:sig w:usb0="00000007" w:usb1="00000000" w:usb2="00000000" w:usb3="00000000" w:csb0="00000003" w:csb1="00000000"/>
  </w:font>
  <w:font w:name="Arabic Typesetting">
    <w:charset w:val="B2"/>
    <w:family w:val="script"/>
    <w:pitch w:val="variable"/>
    <w:sig w:usb0="80002007" w:usb1="80000000" w:usb2="00000008" w:usb3="00000000" w:csb0="000000D3"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7BC81" w14:textId="77777777" w:rsidR="00DF11B2" w:rsidRDefault="00DF11B2">
    <w:pPr>
      <w:pStyle w:val="Footer"/>
      <w:pBdr>
        <w:bottom w:val="single" w:sz="6" w:space="1" w:color="auto"/>
      </w:pBdr>
      <w:jc w:val="center"/>
      <w:rPr>
        <w:rFonts w:ascii="Garamond" w:hAnsi="Garamond" w:cs="Times New Roman"/>
        <w:b/>
        <w:bCs/>
        <w:color w:val="385623" w:themeColor="accent6" w:themeShade="80"/>
        <w:sz w:val="22"/>
        <w:szCs w:val="22"/>
      </w:rPr>
    </w:pPr>
  </w:p>
  <w:p w14:paraId="61576CBF" w14:textId="77777777" w:rsidR="00DF11B2" w:rsidRDefault="00000000">
    <w:pPr>
      <w:pStyle w:val="Footer"/>
      <w:jc w:val="center"/>
      <w:rPr>
        <w:rFonts w:ascii="Garamond" w:hAnsi="Garamond" w:cs="Times New Roman"/>
        <w:b/>
        <w:bCs/>
        <w:color w:val="385623" w:themeColor="accent6" w:themeShade="80"/>
        <w:sz w:val="22"/>
        <w:szCs w:val="22"/>
      </w:rPr>
    </w:pPr>
    <w:r>
      <w:rPr>
        <w:rFonts w:ascii="Garamond" w:hAnsi="Garamond" w:cs="Times New Roman"/>
        <w:b/>
        <w:bCs/>
        <w:color w:val="385623" w:themeColor="accent6" w:themeShade="80"/>
        <w:sz w:val="22"/>
        <w:szCs w:val="22"/>
      </w:rPr>
      <w:t>International Journal of Educational Review, Law, and Social Sciences (IJERLAS)</w:t>
    </w:r>
  </w:p>
  <w:p w14:paraId="71F3BD2A" w14:textId="77777777" w:rsidR="00DF11B2" w:rsidRDefault="00000000">
    <w:pPr>
      <w:pStyle w:val="Footer"/>
      <w:jc w:val="center"/>
      <w:rPr>
        <w:rFonts w:ascii="Garamond" w:hAnsi="Garamond" w:cs="Times New Roman"/>
        <w:sz w:val="20"/>
        <w:szCs w:val="20"/>
      </w:rPr>
    </w:pPr>
    <w:r>
      <w:rPr>
        <w:rFonts w:ascii="Garamond" w:hAnsi="Garamond" w:cs="Times New Roman"/>
        <w:sz w:val="20"/>
        <w:szCs w:val="20"/>
      </w:rPr>
      <w:t>Vol.6 No.1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8EC63" w14:textId="77777777" w:rsidR="00DF11B2" w:rsidRDefault="00DF11B2">
    <w:pPr>
      <w:pStyle w:val="Footer"/>
      <w:pBdr>
        <w:bottom w:val="single" w:sz="6" w:space="1" w:color="auto"/>
      </w:pBdr>
      <w:jc w:val="center"/>
      <w:rPr>
        <w:rFonts w:ascii="Times New Roman" w:hAnsi="Times New Roman" w:cs="Times New Roman"/>
        <w:b/>
        <w:bCs/>
        <w:color w:val="385623" w:themeColor="accent6" w:themeShade="80"/>
        <w:sz w:val="22"/>
        <w:szCs w:val="22"/>
      </w:rPr>
    </w:pPr>
  </w:p>
  <w:p w14:paraId="3A518847" w14:textId="77777777" w:rsidR="00DF11B2" w:rsidRDefault="00DF11B2">
    <w:pPr>
      <w:pStyle w:val="Footer"/>
      <w:rPr>
        <w:rFonts w:ascii="Times New Roman" w:hAnsi="Times New Roman" w:cs="Times New Roman"/>
        <w:b/>
        <w:bCs/>
        <w:sz w:val="20"/>
        <w:szCs w:val="20"/>
      </w:rPr>
    </w:pPr>
  </w:p>
  <w:p w14:paraId="64E5DE70" w14:textId="77777777" w:rsidR="00DF11B2" w:rsidRDefault="00000000">
    <w:pPr>
      <w:pStyle w:val="Footer"/>
      <w:jc w:val="center"/>
      <w:rPr>
        <w:rFonts w:ascii="Times New Roman" w:hAnsi="Times New Roman" w:cs="Times New Roman"/>
        <w:b/>
        <w:bCs/>
        <w:sz w:val="20"/>
        <w:szCs w:val="20"/>
      </w:rPr>
    </w:pPr>
    <w:r>
      <w:rPr>
        <w:noProof/>
      </w:rPr>
      <w:drawing>
        <wp:inline distT="0" distB="0" distL="0" distR="0" wp14:anchorId="15F60E3A" wp14:editId="1B8C718F">
          <wp:extent cx="1028700" cy="308610"/>
          <wp:effectExtent l="0" t="0" r="0" b="0"/>
          <wp:docPr id="275045446" name="Gamba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045446" name="Gambar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1029242" cy="308772"/>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B1C3C" w14:textId="77777777" w:rsidR="00A34A47" w:rsidRDefault="00A34A47">
      <w:pPr>
        <w:spacing w:after="0"/>
      </w:pPr>
      <w:r>
        <w:separator/>
      </w:r>
    </w:p>
  </w:footnote>
  <w:footnote w:type="continuationSeparator" w:id="0">
    <w:p w14:paraId="2FEEA3B6" w14:textId="77777777" w:rsidR="00A34A47" w:rsidRDefault="00A34A47">
      <w:pPr>
        <w:spacing w:after="0"/>
      </w:pPr>
      <w:r>
        <w:continuationSeparator/>
      </w:r>
    </w:p>
  </w:footnote>
  <w:footnote w:id="1">
    <w:p w14:paraId="4770F1B5" w14:textId="0EA6F752" w:rsidR="00495D42" w:rsidRPr="00C33189" w:rsidRDefault="00495D4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{"citationItems":[{"id":"ITEM-1","itemData":{"author":[{"dropping-particle":"","family":"Lee","given":"Jootaek","non-dropping-particle":"","parse-names":false,"suffix":""}],"container-title":"Emory International Law Review","id":"ITEM-1","issue":"3","issued":{"date-parts":[["2020"]]},"page":"757-823","title":"The Human Right to Education: Definition, Research and Annotated Bibliography","type":"article-journal","volume":"34"},"uris":["http://www.mendeley.com/documents/?uuid=1598338f-f4d9-4183-92a3-1b4bed8544ee"]}],"mendeley":{"formattedCitation":"Jootaek Lee, “The Human Right to Education: Definition, Research and Annotated Bibliography,” &lt;i&gt;Emory International Law Review&lt;/i&gt; 34, no. 3 (2020): 757–823, https://scholarlycommons.law.emory.edu/eilr/vol34/iss3/2.","plainTextFormattedCitation":"Jootaek Lee, “The Human Right to Education: Definition, Research and Annotated Bibliography,” Emory International Law Review 34, no. 3 (2020): 757–823, https://scholarlycommons.law.emory.edu/eilr/vol34/iss3/2.","previouslyFormattedCitation":"Jootaek Lee, “The Human Right to Education: Definition, Research and Annotated Bibliography,” &lt;i&gt;Emory International Law Review&lt;/i&gt; 34, no. 3 (2020): 757–823, https://scholarlycommons.law.emory.edu/eilr/vol34/iss3/2."},"properties":{"noteIndex":1},"schema":"https://github.com/citation-style-language/schema/raw/master/csl-citation.json"}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Jootaek Lee, “The Human Right to Education: Definition, Research and Annotated Bibliography,” </w:t>
      </w:r>
      <w:r w:rsidRPr="00C33189">
        <w:rPr>
          <w:rFonts w:ascii="Garamond" w:hAnsi="Garamond"/>
          <w:i/>
          <w:noProof/>
        </w:rPr>
        <w:t>Emory International Law Review</w:t>
      </w:r>
      <w:r w:rsidRPr="00C33189">
        <w:rPr>
          <w:rFonts w:ascii="Garamond" w:hAnsi="Garamond"/>
          <w:noProof/>
        </w:rPr>
        <w:t xml:space="preserve"> 34, no. 3 (2020): 757–823, https://scholarlycommons.law.emory.edu/eilr/vol34/iss3/2.</w:t>
      </w:r>
      <w:r w:rsidRPr="00C33189">
        <w:rPr>
          <w:rFonts w:ascii="Garamond" w:hAnsi="Garamond"/>
        </w:rPr>
        <w:fldChar w:fldCharType="end"/>
      </w:r>
    </w:p>
  </w:footnote>
  <w:footnote w:id="2">
    <w:p w14:paraId="33BE0641" w14:textId="59F259D3" w:rsidR="00495D42" w:rsidRPr="00C33189" w:rsidRDefault="00495D4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DOI":"10.34010/agregasi.v9i1.4121","ISSN":"2337-5299","author":[{"dropping-particle":"","family":"Surya","given":"Iman","non-dropping-particle":"","parse-names":false,"suffix":""},{"dropping-particle":"","family":"Budiman","given":"","non-dropping-particle":"","parse-names":false,"suffix":""},{"dropping-particle":"","family":"Syarifuddin","given":"Tengku Imam","non-dropping-particle":"","parse-names":false,"suffix":""},{"dropping-particle":"","family":"Nurmiyati","given":"Niken","non-dropping-particle":"","parse-names":false,"suffix":""}],"container-title":"Jurnal Agregasi: Jurnal Aksi Reformasi Government Dalam Demokrasi","id":"ITEM-1","issue":"1","issued":{"date-parts":[["2021","5"]]},"page":"1-23","title":"Dampak Desentralisasi terhadap Pelayanan Pendidikan di Daerah Perbatasan Kalimantan","type":"article-journal","volume":"9"},"uris":["http://www.mendeley.com/documents/?uuid=7fa26c07-0259-49b8-b48b-69ad5ac53fcb"]}],"mendeley":{"formattedCitation":"Iman Surya et al., “Dampak Desentralisasi Terhadap Pelayanan Pendidikan Di Daerah Perbatasan Kalimantan,” &lt;i&gt;Jurnal Agregasi: Jurnal Aksi Reformasi Government Dalam Demokrasi&lt;/i&gt; 9, no. 1 (May 2021): 1–23, https://doi.org/10.34010/agregasi.v9i1.4121.","plainTextFormattedCitation":"Iman Surya et al., “Dampak Desentralisasi Terhadap Pelayanan Pendidikan Di Daerah Perbatasan Kalimantan,” Jurnal Agregasi: Jurnal Aksi Reformasi Government Dalam Demokrasi 9, no. 1 (May 2021): 1–23, https://doi.org/10.34010/agregasi.v9i1.4121.","previouslyFormattedCitation":"Iman Surya et al., “Dampak Desentralisasi Terhadap Pelayanan Pendidikan Di Daerah Perbatasan Kalimantan,” &lt;i&gt;Jurnal Agregasi: Jurnal Aksi Reformasi Government Dalam Demokrasi&lt;/i&gt; 9, no. 1 (May 2021): 1–23, https://doi.org/10.34010/agregasi.v9i1.4121."},"properties":{"noteIndex":2},"schema":"https://github.com/citation-style-language/schema/raw/master/csl-citation.json"}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Iman Surya et al., “Dampak Desentralisasi Terhadap Pelayanan Pendidikan Di Daerah Perbatasan Kalimantan,” </w:t>
      </w:r>
      <w:r w:rsidRPr="00C33189">
        <w:rPr>
          <w:rFonts w:ascii="Garamond" w:hAnsi="Garamond"/>
          <w:i/>
          <w:noProof/>
        </w:rPr>
        <w:t>Jurnal Agregasi: Jurnal Aksi Reformasi Government Dalam Demokrasi</w:t>
      </w:r>
      <w:r w:rsidRPr="00C33189">
        <w:rPr>
          <w:rFonts w:ascii="Garamond" w:hAnsi="Garamond"/>
          <w:noProof/>
        </w:rPr>
        <w:t xml:space="preserve"> 9, no. 1 (May 2021): 1–23, https://doi.org/10.34010/agregasi.v9i1.4121.</w:t>
      </w:r>
      <w:r w:rsidRPr="00C33189">
        <w:rPr>
          <w:rFonts w:ascii="Garamond" w:hAnsi="Garamond"/>
        </w:rPr>
        <w:fldChar w:fldCharType="end"/>
      </w:r>
    </w:p>
  </w:footnote>
  <w:footnote w:id="3">
    <w:p w14:paraId="140E6EF3" w14:textId="38BA0E9F" w:rsidR="00495D42" w:rsidRPr="00C33189" w:rsidRDefault="00495D4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{"citationItems":[{"id":"ITEM-1","itemData":{"DOI":"10.23887/jatayu.v5i1.47950","author":[{"dropping-particle":"","family":"Itasari","given":"Endah Rantau","non-dropping-particle":"","parse-names":false,"suffix":""}],"container-title":"Jurnal Komunitas Yustisia","id":"ITEM-1","issue":"1","issued":{"date-parts":[["2022","3"]]},"page":"415-434","title":"Pelaksanaan Kesesuaian Pemenuhan Hak atas Pendidikan Dasar dan Menengah di Kawasan Perbatasan di Provinsi Kalimantan Barat Berdasarkan ICESCR","type":"article-journal","volume":"5"},"uris":["http://www.mendeley.com/documents/?uuid=1355ffc2-8a51-46e1-9569-1a5d9effe5be"]}],"mendeley":{"formattedCitation":"Endah Rantau Itasari, “Pelaksanaan Kesesuaian Pemenuhan Hak Atas Pendidikan Dasar Dan Menengah Di Kawasan Perbatasan Di Provinsi Kalimantan Barat Berdasarkan ICESCR,” &lt;i&gt;Jurnal Komunitas Yustisia&lt;/i&gt; 5, no. 1 (March 2022): 415–34, https://doi.org/10.23887/jatayu.v5i1.47950.","plainTextFormattedCitation":"Endah Rantau Itasari, “Pelaksanaan Kesesuaian Pemenuhan Hak Atas Pendidikan Dasar Dan Menengah Di Kawasan Perbatasan Di Provinsi Kalimantan Barat Berdasarkan ICESCR,” Jurnal Komunitas Yustisia 5, no. 1 (March 2022): 415–34, https://doi.org/10.23887/jatayu.v5i1.47950.","previouslyFormattedCitation":"Endah Rantau Itasari, “Pelaksanaan Kesesuaian Pemenuhan Hak Atas Pendidikan Dasar Dan Menengah Di Kawasan Perbatasan Di Provinsi Kalimantan Barat Berdasarkan ICESCR,” &lt;i&gt;Jurnal Komunitas Yustisia&lt;/i&gt; 5, no. 1 (March 2022): 415–34, https://doi.org/10.23887/jatayu.v5i1.47950."},"properties":{"noteIndex":3},"schema":"https://github.com/citation-style-language/schema/raw/master/csl-citation.json"}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Endah Rantau Itasari, “Pelaksanaan Kesesuaian Pemenuhan Hak Atas Pendidikan Dasar Dan Menengah Di Kawasan Perbatasan Di Provinsi Kalimantan Barat Berdasarkan ICESCR,” </w:t>
      </w:r>
      <w:r w:rsidRPr="00C33189">
        <w:rPr>
          <w:rFonts w:ascii="Garamond" w:hAnsi="Garamond"/>
          <w:i/>
          <w:noProof/>
        </w:rPr>
        <w:t>Jurnal Komunitas Yustisia</w:t>
      </w:r>
      <w:r w:rsidRPr="00C33189">
        <w:rPr>
          <w:rFonts w:ascii="Garamond" w:hAnsi="Garamond"/>
          <w:noProof/>
        </w:rPr>
        <w:t xml:space="preserve"> 5, no. 1 (March 2022): 415–34, https://doi.org/10.23887/jatayu.v5i1.47950.</w:t>
      </w:r>
      <w:r w:rsidRPr="00C33189">
        <w:rPr>
          <w:rFonts w:ascii="Garamond" w:hAnsi="Garamond"/>
        </w:rPr>
        <w:fldChar w:fldCharType="end"/>
      </w:r>
    </w:p>
  </w:footnote>
  <w:footnote w:id="4">
    <w:p w14:paraId="6FDA5B05" w14:textId="0ABDF11F" w:rsidR="00495D42" w:rsidRPr="00C33189" w:rsidRDefault="00495D4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{"citationItems":[{"id":"ITEM-1","itemData":{"author":[{"dropping-particle":"","family":"International Commission of Jurists (ICJ)","given":"","non-dropping-particle":"","parse-names":false,"suffix":""}],"id":"ITEM-1","issued":{"date-parts":[["2023","4"]]},"number-of-pages":"57-58","title":"Failed Implementation: Lesotho's Inclusive Education Policy and the Continued Exclusion of Children with Disabilities","type":"report"},"uris":["http://www.mendeley.com/documents/?uuid=4690ed42-cba3-4764-b575-18855e072e7b"]}],"mendeley":{"formattedCitation":"International Commission of Jurists (ICJ), “Failed Implementation: Lesotho’s Inclusive Education Policy and the Continued Exclusion of Children with Disabilities,” April 2023, https://www.icj.org.","plainTextFormattedCitation":"International Commission of Jurists (ICJ), “Failed Implementation: Lesotho’s Inclusive Education Policy and the Continued Exclusion of Children with Disabilities,” April 2023, https://www.icj.org.","previouslyFormattedCitation":"International Commission of Jurists (ICJ), “Failed Implementation: Lesotho’s Inclusive Education Policy and the Continued Exclusion of Children with Disabilities,” April 2023, https://www.icj.org."},"properties":{"noteIndex":4},"schema":"https://github.com/citation-style-language/schema/raw/master/csl-citation.json"}</w:instrText>
      </w:r>
      <w:r w:rsidRPr="00C33189">
        <w:rPr>
          <w:rFonts w:ascii="Garamond" w:hAnsi="Garamond"/>
        </w:rPr>
        <w:fldChar w:fldCharType="separate"/>
      </w:r>
      <w:r w:rsidRPr="00C33189">
        <w:rPr>
          <w:rFonts w:ascii="Garamond" w:hAnsi="Garamond"/>
          <w:noProof/>
        </w:rPr>
        <w:t>International Commission of Jurists (ICJ), “Failed Implementation: Lesotho’s Inclusive Education Policy and the Continued Exclusion of Children with Disabilities,” April 2023, https://www.icj.org.</w:t>
      </w:r>
      <w:r w:rsidRPr="00C33189">
        <w:rPr>
          <w:rFonts w:ascii="Garamond" w:hAnsi="Garamond"/>
        </w:rPr>
        <w:fldChar w:fldCharType="end"/>
      </w:r>
    </w:p>
  </w:footnote>
  <w:footnote w:id="5">
    <w:p w14:paraId="03300523" w14:textId="495DA735" w:rsidR="00495D42" w:rsidRPr="00C33189" w:rsidRDefault="00495D4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{"citationItems":[{"id":"ITEM-1","itemData":{"DOI":"10.23887/jkh.v7i1.31451","author":[{"dropping-particle":"","family":"Itasari","given":"Endah Rantau","non-dropping-particle":"","parse-names":false,"suffix":""}],"container-title":"Jurnal Komunikasi Hukum (JKH)","id":"ITEM-1","issue":"1","issued":{"date-parts":[["2021"]]},"page":"1-9","title":"Kewajiban Negara Indonesia Setelah Meratifikasi International Covenant on Economic Social and Cultural Rights (ICESCR)","type":"article-journal","volume":"7"},"uris":["http://www.mendeley.com/documents/?uuid=a9c35553-250e-43d5-90b2-28616e533ccc"]}],"mendeley":{"formattedCitation":"Endah Rantau Itasari, “Kewajiban Negara Indonesia Setelah Meratifikasi International Covenant on Economic Social and Cultural Rights (ICESCR),” &lt;i&gt;Jurnal Komunikasi Hukum (JKH)&lt;/i&gt; 7, no. 1 (2021): 1–9, https://doi.org/10.23887/jkh.v7i1.31451.","plainTextFormattedCitation":"Endah Rantau Itasari, “Kewajiban Negara Indonesia Setelah Meratifikasi International Covenant on Economic Social and Cultural Rights (ICESCR),” Jurnal Komunikasi Hukum (JKH) 7, no. 1 (2021): 1–9, https://doi.org/10.23887/jkh.v7i1.31451.","previouslyFormattedCitation":"Endah Rantau Itasari, “Kewajiban Negara Indonesia Setelah Meratifikasi International Covenant on Economic Social and Cultural Rights (ICESCR),” &lt;i&gt;Jurnal Komunikasi Hukum (JKH)&lt;/i&gt; 7, no. 1 (2021): 1–9, https://doi.org/10.23887/jkh.v7i1.31451."},"properties":{"noteIndex":5},"schema":"https://github.com/citation-style-language/schema/raw/master/csl-citation.json"}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Endah Rantau Itasari, “Kewajiban Negara Indonesia Setelah Meratifikasi International Covenant on Economic Social and Cultural Rights (ICESCR),” </w:t>
      </w:r>
      <w:r w:rsidRPr="00C33189">
        <w:rPr>
          <w:rFonts w:ascii="Garamond" w:hAnsi="Garamond"/>
          <w:i/>
          <w:noProof/>
        </w:rPr>
        <w:t>Jurnal Komunikasi Hukum (JKH)</w:t>
      </w:r>
      <w:r w:rsidRPr="00C33189">
        <w:rPr>
          <w:rFonts w:ascii="Garamond" w:hAnsi="Garamond"/>
          <w:noProof/>
        </w:rPr>
        <w:t xml:space="preserve"> 7, no. 1 (2021): 1–9, https://doi.org/10.23887/jkh.v7i1.31451.</w:t>
      </w:r>
      <w:r w:rsidRPr="00C33189">
        <w:rPr>
          <w:rFonts w:ascii="Garamond" w:hAnsi="Garamond"/>
        </w:rPr>
        <w:fldChar w:fldCharType="end"/>
      </w:r>
    </w:p>
  </w:footnote>
  <w:footnote w:id="6">
    <w:p w14:paraId="3F1257A9" w14:textId="6767E90F" w:rsidR="00495D42" w:rsidRPr="00C33189" w:rsidRDefault="00495D4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{"citationItems":[{"id":"ITEM-1","itemData":{"DOI":"10.23887/jatayu.v5i1.47950","author":[{"dropping-particle":"","family":"Itasari","given":"Endah Rantau","non-dropping-particle":"","parse-names":false,"suffix":""}],"container-title":"Jurnal Komunitas Yustisia","id":"ITEM-1","issue":"1","issued":{"date-parts":[["2022","3"]]},"page":"415-434","title":"Pelaksanaan Kesesuaian Pemenuhan Hak atas Pendidikan Dasar dan Menengah di Kawasan Perbatasan di Provinsi Kalimantan Barat Berdasarkan ICESCR","type":"article-journal","volume":"5"},"uris":["http://www.mendeley.com/documents/?uuid=1355ffc2-8a51-46e1-9569-1a5d9effe5be"]}],"mendeley":{"formattedCitation":"Itasari, “Pelaksanaan Kesesuaian Pemenuhan Hak Atas Pendidikan Dasar Dan Menengah Di Kawasan Perbatasan Di Provinsi Kalimantan Barat Berdasarkan ICESCR.”","plainTextFormattedCitation":"Itasari, “Pelaksanaan Kesesuaian Pemenuhan Hak Atas Pendidikan Dasar Dan Menengah Di Kawasan Perbatasan Di Provinsi Kalimantan Barat Berdasarkan ICESCR.”","previouslyFormattedCitation":"Itasari, “Pelaksanaan Kesesuaian Pemenuhan Hak Atas Pendidikan Dasar Dan Menengah Di Kawasan Perbatasan Di Provinsi Kalimantan Barat Berdasarkan ICESCR.”"},"properties":{"noteIndex":6},"schema":"https://github.com/citation-style-language/schema/raw/master/csl-citation.json"}</w:instrText>
      </w:r>
      <w:r w:rsidRPr="00C33189">
        <w:rPr>
          <w:rFonts w:ascii="Garamond" w:hAnsi="Garamond"/>
        </w:rPr>
        <w:fldChar w:fldCharType="separate"/>
      </w:r>
      <w:r w:rsidRPr="00C33189">
        <w:rPr>
          <w:rFonts w:ascii="Garamond" w:hAnsi="Garamond"/>
          <w:noProof/>
        </w:rPr>
        <w:t>Itasari, “Pelaksanaan Kesesuaian Pemenuhan Hak Atas Pendidikan Dasar Dan Menengah Di Kawasan Perbatasan Di Provinsi Kalimantan Barat Berdasarkan ICESCR.”</w:t>
      </w:r>
      <w:r w:rsidRPr="00C33189">
        <w:rPr>
          <w:rFonts w:ascii="Garamond" w:hAnsi="Garamond"/>
        </w:rPr>
        <w:fldChar w:fldCharType="end"/>
      </w:r>
    </w:p>
  </w:footnote>
  <w:footnote w:id="7">
    <w:p w14:paraId="32B4E9C1" w14:textId="7710B700" w:rsidR="00495D42" w:rsidRPr="00C33189" w:rsidRDefault="00495D4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{"citationItems":[{"id":"ITEM-1","itemData":{"DOI":"10.37502/IJSMR.2025.8104","ISSN":"2581-6888","author":[{"dropping-particle":"","family":"Tangwe","given":"Abraham Tamukum","non-dropping-particle":"","parse-names":false,"suffix":""},{"dropping-particle":"","family":"Benyin","given":"Patrick Kofi","non-dropping-particle":"","parse-names":false,"suffix":""}],"container-title":"International Journal of Scientific and Management Research","id":"ITEM-1","issue":"1","issued":{"date-parts":[["2025","1"]]},"page":"65-98","title":"Reimagining Critical Interdisciplinarity: Shifting from the Traditional to the Transformative Paradigm in Higher Education Research and Learning","type":"article-journal","volume":"8"},"uris":["http://www.mendeley.com/documents/?uuid=206516fd-3929-43b8-b540-9f10993be401"]}],"mendeley":{"formattedCitation":"Abraham Tamukum Tangwe and Patrick Kofi Benyin, “Reimagining Critical Interdisciplinarity: Shifting from the Traditional to the Transformative Paradigm in Higher Education Research and Learning,” &lt;i&gt;International Journal of Scientific and Management Research&lt;/i&gt; 8, no. 1 (January 2025): 65–98, https://doi.org/10.37502/IJSMR.2025.8104.","plainTextFormattedCitation":"Abraham Tamukum Tangwe and Patrick Kofi Benyin, “Reimagining Critical Interdisciplinarity: Shifting from the Traditional to the Transformative Paradigm in Higher Education Research and Learning,” International Journal of Scientific and Management Research 8, no. 1 (January 2025): 65–98, https://doi.org/10.37502/IJSMR.2025.8104.","previouslyFormattedCitation":"Abraham Tamukum Tangwe and Patrick Kofi Benyin, “Reimagining Critical Interdisciplinarity: Shifting from the Traditional to the Transformative Paradigm in Higher Education Research and Learning,” &lt;i&gt;International Journal of Scientific and Management Research&lt;/i&gt; 8, no. 1 (January 2025): 65–98, https://doi.org/10.37502/IJSMR.2025.8104."},"properties":{"noteIndex":7},"schema":"https://github.com/citation-style-language/schema/raw/master/csl-citation.json"}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Abraham Tamukum Tangwe and Patrick Kofi Benyin, “Reimagining Critical Interdisciplinarity: Shifting from the Traditional to the Transformative Paradigm in Higher Education Research and Learning,” </w:t>
      </w:r>
      <w:r w:rsidRPr="00C33189">
        <w:rPr>
          <w:rFonts w:ascii="Garamond" w:hAnsi="Garamond"/>
          <w:i/>
          <w:noProof/>
        </w:rPr>
        <w:t>International Journal of Scientific and Management Research</w:t>
      </w:r>
      <w:r w:rsidRPr="00C33189">
        <w:rPr>
          <w:rFonts w:ascii="Garamond" w:hAnsi="Garamond"/>
          <w:noProof/>
        </w:rPr>
        <w:t xml:space="preserve"> 8, no. 1 (January 2025): 65–98, https://doi.org/10.37502/IJSMR.2025.8104.</w:t>
      </w:r>
      <w:r w:rsidRPr="00C33189">
        <w:rPr>
          <w:rFonts w:ascii="Garamond" w:hAnsi="Garamond"/>
        </w:rPr>
        <w:fldChar w:fldCharType="end"/>
      </w:r>
    </w:p>
  </w:footnote>
  <w:footnote w:id="8">
    <w:p w14:paraId="04E73530" w14:textId="7B158320" w:rsidR="008F0301" w:rsidRPr="00C33189" w:rsidRDefault="008F0301"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{"citationItems":[{"id":"ITEM-1","itemData":{"DOI":"10.23887/jatayu.v5i1.47950","author":[{"dropping-particle":"","family":"Itasari","given":"Endah Rantau","non-dropping-particle":"","parse-names":false,"suffix":""}],"container-title":"Jurnal Komunitas Yustisia","id":"ITEM-1","issue":"1","issued":{"date-parts":[["2022","3"]]},"page":"415-434","title":"Pelaksanaan Kesesuaian Pemenuhan Hak atas Pendidikan Dasar dan Menengah di Kawasan Perbatasan di Provinsi Kalimantan Barat Berdasarkan ICESCR","type":"article-journal","volume":"5"},"uris":["http://www.mendeley.com/documents/?uuid=1355ffc2-8a51-46e1-9569-1a5d9effe5be"]}],"mendeley":{"formattedCitation":"Itasari, “Pelaksanaan Kesesuaian Pemenuhan Hak Atas Pendidikan Dasar Dan Menengah Di Kawasan Perbatasan Di Provinsi Kalimantan Barat Berdasarkan ICESCR.”","plainTextFormattedCitation":"Itasari, “Pelaksanaan Kesesuaian Pemenuhan Hak Atas Pendidikan Dasar Dan Menengah Di Kawasan Perbatasan Di Provinsi Kalimantan Barat Berdasarkan ICESCR.”","previouslyFormattedCitation":"Itasari, “Pelaksanaan Kesesuaian Pemenuhan Hak Atas Pendidikan Dasar Dan Menengah Di Kawasan Perbatasan Di Provinsi Kalimantan Barat Berdasarkan ICESCR.”"},"properties":{"noteIndex":8},"schema":"https://github.com/citation-style-language/schema/raw/master/csl-citation.json"}</w:instrText>
      </w:r>
      <w:r w:rsidRPr="00C33189">
        <w:rPr>
          <w:rFonts w:ascii="Garamond" w:hAnsi="Garamond"/>
        </w:rPr>
        <w:fldChar w:fldCharType="separate"/>
      </w:r>
      <w:r w:rsidRPr="00C33189">
        <w:rPr>
          <w:rFonts w:ascii="Garamond" w:hAnsi="Garamond"/>
          <w:noProof/>
        </w:rPr>
        <w:t>Itasari, “Pelaksanaan Kesesuaian Pemenuhan Hak Atas Pendidikan Dasar Dan Menengah Di Kawasan Perbatasan Di Provinsi Kalimantan Barat Berdasarkan ICESCR.”</w:t>
      </w:r>
      <w:r w:rsidRPr="00C33189">
        <w:rPr>
          <w:rFonts w:ascii="Garamond" w:hAnsi="Garamond"/>
        </w:rPr>
        <w:fldChar w:fldCharType="end"/>
      </w:r>
    </w:p>
  </w:footnote>
  <w:footnote w:id="9">
    <w:p w14:paraId="5624ECC2" w14:textId="1A48EE8D" w:rsidR="008F0301" w:rsidRPr="00C33189" w:rsidRDefault="008F0301"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EF544D" w:rsidRPr="00C33189">
        <w:rPr>
          <w:rFonts w:ascii="Garamond" w:hAnsi="Garamond"/>
        </w:rPr>
        <w:instrText>ADDIN CSL_CITATION {"citationItems":[{"id":"ITEM-1","itemData":{"DOI":"10.63332/joph.v5i5.1649","ISSN":"2634-3576","author":[{"dropping-particle":"","family":"Wartoyo","given":"Franciscus Xaverius","non-dropping-particle":"","parse-names":false,"suffix":""}],"container-title":"Journal of Posthumanism","id":"ITEM-1","issue":"5","issued":{"date-parts":[["2025"]]},"page":"2589-2597","title":"Harmonization of the National Education System Law No. 20 of 2003 Based on Dignified Justice","type":"article-journal","volume":"5"},"uris":["http://www.mendeley.com/documents/?uuid=d1d4fac1-b692-4fb2-97dd-e0ffc74bbaf9"]}],"mendeley":{"formattedCitation":"Franciscus Xaverius Wartoyo, “Harmonization of the National Education System Law No. 20 of 2003 Based on Dignified Justice,” &lt;i&gt;Journal of Posthumanism&lt;/i&gt; 5, no. 5 (2025): 2589–97, https://doi.org/10.63332/joph.v5i5.1649.","plainTextFormattedCitation":"Franciscus Xaverius Wartoyo, “Harmonization of the National Education System Law No. 20 of 2003 Based on Dignified Justice,” Journal of Posthumanism 5, no. 5 (2025): 2589–97, https://doi.org/10.63332/joph.v5i5.1649.","previouslyFormattedCitation":"Franciscus Xaverius Wartoyo, “Harmonization of the National Education System Law No. 20 of 2003 Based on Dignified Justice,” &lt;i&gt;Journal of Posthumanism&lt;/i&gt; 5, no. 5 (2025): 2589–97, https://doi.org/10.63332/joph.v5i5.1649."},"properties":{"noteIndex":9},"schema":"https://github.com/citation-style-language/schema/raw/master/csl-citation.json"}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Franciscus Xaverius Wartoyo, “Harmonization of the National Education System Law No. 20 of 2003 Based on Dignified Justice,” </w:t>
      </w:r>
      <w:r w:rsidRPr="00C33189">
        <w:rPr>
          <w:rFonts w:ascii="Garamond" w:hAnsi="Garamond"/>
          <w:i/>
          <w:noProof/>
        </w:rPr>
        <w:t>Journal of Posthumanism</w:t>
      </w:r>
      <w:r w:rsidRPr="00C33189">
        <w:rPr>
          <w:rFonts w:ascii="Garamond" w:hAnsi="Garamond"/>
          <w:noProof/>
        </w:rPr>
        <w:t xml:space="preserve"> 5, no. 5 (2025): 2589–97, https://doi.org/10.63332/joph.v5i5.1649.</w:t>
      </w:r>
      <w:r w:rsidRPr="00C33189">
        <w:rPr>
          <w:rFonts w:ascii="Garamond" w:hAnsi="Garamond"/>
        </w:rPr>
        <w:fldChar w:fldCharType="end"/>
      </w:r>
    </w:p>
  </w:footnote>
  <w:footnote w:id="10">
    <w:p w14:paraId="549CDB0B" w14:textId="39267787" w:rsidR="00EF544D" w:rsidRPr="00C33189" w:rsidRDefault="00EF544D"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DOI":"10.25273/citizenship.v6i1.1824","ISSN":"2302-433X","author":[{"dropping-particle":"","family":"Sutiyono","given":"","non-dropping-particle":"","parse-names":false,"suffix":""},{"dropping-particle":"","family":"Suharno","given":"","non-dropping-particle":"","parse-names":false,"suffix":""}],"container-title":"Citizenship Jurnal Pancasila dan Kewarganegaraan","id":"ITEM-1","issue":"1","issued":{"date-parts":[["2018"]]},"page":"1","title":"Reformulasi Pendidikan Pancasila dan Kewarganegaraan untuk Menguatkan Nasionalisme Warga Negara Muda di Wilayah Perbatasan","type":"article-journal","volume":"6"},"uris":["http://www.mendeley.com/documents/?uuid=74bf6006-0110-4d93-b170-38cdf583a75e"]}],"mendeley":{"formattedCitation":"Sutiyono and Suharno, “Reformulasi Pendidikan Pancasila Dan Kewarganegaraan Untuk Menguatkan Nasionalisme Warga Negara Muda Di Wilayah Perbatasan,” &lt;i&gt;Citizenship Jurnal Pancasila Dan Kewarganegaraan&lt;/i&gt; 6, no. 1 (2018): 1, https://doi.org/10.25273/citizenship.v6i1.1824.","plainTextFormattedCitation":"Sutiyono and Suharno, “Reformulasi Pendidikan Pancasila Dan Kewarganegaraan Untuk Menguatkan Nasionalisme Warga Negara Muda Di Wilayah Perbatasan,” Citizenship Jurnal Pancasila Dan Kewarganegaraan 6, no. 1 (2018): 1, https://doi.org/10.25273/citizenship.v6i1.1824.","previouslyFormattedCitation":"Sutiyono and Suharno, “Reformulasi Pendidikan Pancasila Dan Kewarganegaraan Untuk Menguatkan Nasionalisme Warga Negara Muda Di Wilayah Perbatasan,” &lt;i&gt;Citizenship Jurnal Pancasila Dan Kewarganegaraan&lt;/i&gt; 6, no. 1 (2018): 1, https://doi.org/10.25273/citizenship.v6i1.1824."},"properties":{"noteIndex":10},"schema":"https://github.com/citation-style-language/schema/raw/master/csl-citation.json"}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Sutiyono and Suharno, “Reformulasi Pendidikan Pancasila Dan Kewarganegaraan Untuk Menguatkan Nasionalisme Warga Negara Muda Di Wilayah Perbatasan,” </w:t>
      </w:r>
      <w:r w:rsidRPr="00C33189">
        <w:rPr>
          <w:rFonts w:ascii="Garamond" w:hAnsi="Garamond"/>
          <w:i/>
          <w:noProof/>
        </w:rPr>
        <w:t>Citizenship Jurnal Pancasila Dan Kewarganegaraan</w:t>
      </w:r>
      <w:r w:rsidRPr="00C33189">
        <w:rPr>
          <w:rFonts w:ascii="Garamond" w:hAnsi="Garamond"/>
          <w:noProof/>
        </w:rPr>
        <w:t xml:space="preserve"> 6, no. 1 (2018): 1, https://doi.org/10.25273/citizenship.v6i1.1824.</w:t>
      </w:r>
      <w:r w:rsidRPr="00C33189">
        <w:rPr>
          <w:rFonts w:ascii="Garamond" w:hAnsi="Garamond"/>
        </w:rPr>
        <w:fldChar w:fldCharType="end"/>
      </w:r>
    </w:p>
  </w:footnote>
  <w:footnote w:id="11">
    <w:p w14:paraId="78FFE84C" w14:textId="77777777" w:rsidR="00EF544D" w:rsidRPr="00C33189" w:rsidRDefault="00EF544D"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DOI":"10.25273/citizenship.v6i1.1824","ISSN":"2302-433X","author":[{"dropping-particle":"","family":"Sutiyono","given":"","non-dropping-particle":"","parse-names":false,"suffix":""},{"dropping-particle":"","family":"Suharno","given":"","non-dropping-particle":"","parse-names":false,"suffix":""}],"container-title":"Citizenship Jurnal Pancasila dan Kewarganegaraan","id":"ITEM-1","issue":"1","issued":{"date-parts":[["2018"]]},"page":"1","title":"Reformulasi Pendidikan Pancasila dan Kewarganegaraan untuk Menguatkan Nasionalisme Warga Negara Muda di Wilayah Perbatasan","type":"article-journal","volume":"6"},"uris":["http://www.mendeley.com/documents/?uuid=74bf6006-0110-4d93-b170-38cdf583a75e"]}],"mendeley":{"formattedCitation":"Sutiyono and Suharno.","plainTextFormattedCitation":"Sutiyono and Suharno.","previouslyFormattedCitation":"Sutiyono and Suharno."},"properties":{"noteIndex":11},"schema":"https://github.com/citation-style-language/schema/raw/master/csl-citation.json"}</w:instrText>
      </w:r>
      <w:r w:rsidRPr="00C33189">
        <w:rPr>
          <w:rFonts w:ascii="Garamond" w:hAnsi="Garamond"/>
        </w:rPr>
        <w:fldChar w:fldCharType="separate"/>
      </w:r>
      <w:r w:rsidRPr="00C33189">
        <w:rPr>
          <w:rFonts w:ascii="Garamond" w:hAnsi="Garamond"/>
          <w:noProof/>
        </w:rPr>
        <w:t>Sutiyono and Suharno.</w:t>
      </w:r>
      <w:r w:rsidRPr="00C33189">
        <w:rPr>
          <w:rFonts w:ascii="Garamond" w:hAnsi="Garamond"/>
        </w:rPr>
        <w:fldChar w:fldCharType="end"/>
      </w:r>
    </w:p>
  </w:footnote>
  <w:footnote w:id="12">
    <w:p w14:paraId="7F4E8A3A" w14:textId="6DE08CCB" w:rsidR="00EF544D" w:rsidRPr="00C33189" w:rsidRDefault="00EF544D"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EC5D73" w:rsidRPr="00C33189">
        <w:rPr>
          <w:rFonts w:ascii="Garamond" w:hAnsi="Garamond"/>
        </w:rPr>
        <w:instrText>ADDIN CSL_CITATION {"citationItems":[{"id":"ITEM-1","itemData":{"DOI":"10.1787/9789264230750-en","author":[{"dropping-particle":"","family":"OECD","given":"","non-dropping-particle":"","parse-names":false,"suffix":""},{"dropping-particle":"","family":"Asian Development Bank","given":"","non-dropping-particle":"","parse-names":false,"suffix":""}],"id":"ITEM-1","issued":{"date-parts":[["2015"]]},"number-of-pages":"86","publisher":"OECD Publishing","publisher-place":"Paris","title":"Education in Indonesia: Rising to the Challenge","type":"book"},"uris":["http://www.mendeley.com/documents/?uuid=d6597dac-dfd8-4349-b726-19a624c8927f"]}],"mendeley":{"formattedCitation":"OECD and Asian Development Bank, &lt;i&gt;Education in Indonesia: Rising to the Challenge&lt;/i&gt; (Paris: OECD Publishing, 2015), https://doi.org/10.1787/9789264230750-en.","plainTextFormattedCitation":"OECD and Asian Development Bank, Education in Indonesia: Rising to the Challenge (Paris: OECD Publishing, 2015), https://doi.org/10.1787/9789264230750-en.","previouslyFormattedCitation":"OECD and Asian Development Bank, &lt;i&gt;Education in Indonesia: Rising to the Challenge&lt;/i&gt; (Paris: OECD Publishing, 2015), https://doi.org/10.1787/9789264230750-en."},"properties":{"noteIndex":12},"schema":"https://github.com/citation-style-language/schema/raw/master/csl-citation.json"}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OECD and Asian Development Bank, </w:t>
      </w:r>
      <w:r w:rsidRPr="00C33189">
        <w:rPr>
          <w:rFonts w:ascii="Garamond" w:hAnsi="Garamond"/>
          <w:i/>
          <w:noProof/>
        </w:rPr>
        <w:t>Education in Indonesia: Rising to the Challenge</w:t>
      </w:r>
      <w:r w:rsidRPr="00C33189">
        <w:rPr>
          <w:rFonts w:ascii="Garamond" w:hAnsi="Garamond"/>
          <w:noProof/>
        </w:rPr>
        <w:t xml:space="preserve"> (Paris: OECD Publishing, 2015), https://doi.org/10.1787/9789264230750-en.</w:t>
      </w:r>
      <w:r w:rsidRPr="00C33189">
        <w:rPr>
          <w:rFonts w:ascii="Garamond" w:hAnsi="Garamond"/>
        </w:rPr>
        <w:fldChar w:fldCharType="end"/>
      </w:r>
    </w:p>
  </w:footnote>
  <w:footnote w:id="13">
    <w:p w14:paraId="266C6DC4" w14:textId="25DFE280" w:rsidR="00EC5D73" w:rsidRPr="00C33189" w:rsidRDefault="00EC5D73"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532ECD" w:rsidRPr="00C33189">
        <w:rPr>
          <w:rFonts w:ascii="Garamond" w:hAnsi="Garamond"/>
        </w:rPr>
        <w:instrText>ADDIN CSL_CITATION {"citationItems":[{"id":"ITEM-1","itemData":{"DOI":"10.24294/jipd.v8i12.7085","author":[{"dropping-particle":"","family":"Trimurni","given":"Februati","non-dropping-particle":"","parse-names":false,"suffix":""},{"dropping-particle":"","family":"Mazdalifah","given":"","non-dropping-particle":"","parse-names":false,"suffix":""},{"dropping-particle":"","family":"Talib","given":"Kartini Aboo","non-dropping-particle":"","parse-names":false,"suffix":""},{"dropping-particle":"","family":"Ginting","given":"Wiro Oktavius","non-dropping-particle":"","parse-names":false,"suffix":""}],"container-title":"Journal of Infrastructure, Policy and Development","id":"ITEM-1","issue":"12","issued":{"date-parts":[["2024"]]},"page":"7085","title":"Intergovernmental Networks and Local Government Capacity for Disaster Management in North Sumatra","type":"article-journal","volume":"8"},"uris":["http://www.mendeley.com/documents/?uuid=1d70a6c3-a0fb-4422-a6c3-8049f2f6cc88"]}],"mendeley":{"formattedCitation":"Februati Trimurni et al., “Intergovernmental Networks and Local Government Capacity for Disaster Management in North Sumatra,” &lt;i&gt;Journal of Infrastructure, Policy and Development&lt;/i&gt; 8, no. 12 (2024): 7085, https://doi.org/10.24294/jipd.v8i12.7085.","plainTextFormattedCitation":"Februati Trimurni et al., “Intergovernmental Networks and Local Government Capacity for Disaster Management in North Sumatra,” Journal of Infrastructure, Policy and Development 8, no. 12 (2024): 7085, https://doi.org/10.24294/jipd.v8i12.7085.","previouslyFormattedCitation":"Februati Trimurni et al., “Intergovernmental Networks and Local Government Capacity for Disaster Management in North Sumatra,” &lt;i&gt;Journal of Infrastructure, Policy and Development&lt;/i&gt; 8, no. 12 (2024): 7085, https://doi.org/10.24294/jipd.v8i12.7085."},"properties":{"noteIndex":13},"schema":"https://github.com/citation-style-language/schema/raw/master/csl-citation.json"}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Februati Trimurni et al., “Intergovernmental Networks and Local Government Capacity for Disaster Management in North Sumatra,” </w:t>
      </w:r>
      <w:r w:rsidRPr="00C33189">
        <w:rPr>
          <w:rFonts w:ascii="Garamond" w:hAnsi="Garamond"/>
          <w:i/>
          <w:noProof/>
        </w:rPr>
        <w:t>Journal of Infrastructure, Policy and Development</w:t>
      </w:r>
      <w:r w:rsidRPr="00C33189">
        <w:rPr>
          <w:rFonts w:ascii="Garamond" w:hAnsi="Garamond"/>
          <w:noProof/>
        </w:rPr>
        <w:t xml:space="preserve"> 8, no. 12 (2024): 7085, https://doi.org/10.24294/jipd.v8i12.7085.</w:t>
      </w:r>
      <w:r w:rsidRPr="00C33189">
        <w:rPr>
          <w:rFonts w:ascii="Garamond" w:hAnsi="Garamond"/>
        </w:rPr>
        <w:fldChar w:fldCharType="end"/>
      </w:r>
    </w:p>
  </w:footnote>
  <w:footnote w:id="14">
    <w:p w14:paraId="343EA4EE" w14:textId="7CB8EB9E" w:rsidR="008F0301" w:rsidRPr="00C33189" w:rsidRDefault="008F0301"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EC5D73" w:rsidRPr="00C33189">
        <w:rPr>
          <w:rFonts w:ascii="Garamond" w:hAnsi="Garamond"/>
        </w:rPr>
        <w:instrText>ADDIN CSL_CITATION {"citationItems":[{"id":"ITEM-1","itemData":{"author":[{"dropping-particle":"","family":"Rahardjo","given":"Satjipto","non-dropping-particle":"","parse-names":false,"suffix":""}],"id":"ITEM-1","issued":{"date-parts":[["2009"]]},"publisher":"Genta Publishing","publisher-place":"Yogyakarta","title":"Hukum Progresif: Sebuah Sintesa Hukum Indonesia","type":"book"},"uris":["http://www.mendeley.com/documents/?uuid=1fa2f5fa-00fa-4c75-90bd-241234a959e8"]}],"mendeley":{"formattedCitation":"Satjipto Rahardjo, &lt;i&gt;Hukum Progresif: Sebuah Sintesa Hukum Indonesia&lt;/i&gt; (Yogyakarta: Genta Publishing, 2009).","plainTextFormattedCitation":"Satjipto Rahardjo, Hukum Progresif: Sebuah Sintesa Hukum Indonesia (Yogyakarta: Genta Publishing, 2009).","previouslyFormattedCitation":"Satjipto Rahardjo, &lt;i&gt;Hukum Progresif: Sebuah Sintesa Hukum Indonesia&lt;/i&gt; (Yogyakarta: Genta Publishing, 2009)."},"properties":{"noteIndex":14},"schema":"https://github.com/citation-style-language/schema/raw/master/csl-citation.json"}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Satjipto Rahardjo, </w:t>
      </w:r>
      <w:r w:rsidRPr="00C33189">
        <w:rPr>
          <w:rFonts w:ascii="Garamond" w:hAnsi="Garamond"/>
          <w:i/>
          <w:noProof/>
        </w:rPr>
        <w:t>Hukum Progresif: Sebuah Sintesa Hukum Indonesia</w:t>
      </w:r>
      <w:r w:rsidRPr="00C33189">
        <w:rPr>
          <w:rFonts w:ascii="Garamond" w:hAnsi="Garamond"/>
          <w:noProof/>
        </w:rPr>
        <w:t xml:space="preserve"> (Yogyakarta: Genta Publishing, 2009).</w:t>
      </w:r>
      <w:r w:rsidRPr="00C33189">
        <w:rPr>
          <w:rFonts w:ascii="Garamond" w:hAnsi="Garamond"/>
        </w:rPr>
        <w:fldChar w:fldCharType="end"/>
      </w:r>
      <w:r w:rsidRPr="00C33189">
        <w:rPr>
          <w:rFonts w:ascii="Garamond" w:hAnsi="Garamond"/>
        </w:rPr>
        <w:t xml:space="preserve"> P.16</w:t>
      </w:r>
    </w:p>
  </w:footnote>
  <w:footnote w:id="15">
    <w:p w14:paraId="223A7EAC" w14:textId="7C77AAF6" w:rsidR="00257851" w:rsidRPr="00C33189" w:rsidRDefault="00257851"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DOI":"10.61978/moneta.v3i4.822","author":[{"dropping-particle":"","family":"Paulina","given":"","non-dropping-particle":"","parse-names":false,"suffix":""},{"dropping-particle":"","family":"Adiawaty","given":"Susi","non-dropping-particle":"","parse-names":false,"suffix":""}],"container-title":"Moneta: Journal of Economics and Finance","id":"ITEM-1","issue":"4","issued":{"date-parts":[["2025"]]},"page":"283-296","title":"Fiscal Transfers and the Persistence of Regional Inequality: A Critical Review of Indonesia's Intergovernmental Funding System","type":"article-journal","volume":"3"},"uris":["http://www.mendeley.com/documents/?uuid=64ecc0c0-9211-472e-b5de-06552cb76535"]}],"mendeley":{"formattedCitation":"Paulina and Susi Adiawaty, “Fiscal Transfers and the Persistence of Regional Inequality: A Critical Review of Indonesia’s Intergovernmental Funding System,” &lt;i&gt;Moneta: Journal of Economics and Finance&lt;/i&gt; 3, no. 4 (2025): 283–96, https://doi.org/10.61978/moneta.v3i4.822.","plainTextFormattedCitation":"Paulina and Susi Adiawaty, “Fiscal Transfers and the Persistence of Regional Inequality: A Critical Review of Indonesia’s Intergovernmental Funding System,” Moneta: Journal of Economics and Finance 3, no. 4 (2025): 283–96, https://doi.org/10.61978/moneta.v3i4.822.","previouslyFormattedCitation":"Paulina and Susi Adiawaty, “Fiscal Transfers and the Persistence of Regional Inequality: A Critical Review of Indonesia’s Intergovernmental Funding System,” &lt;i&gt;Moneta: Journal of Economics and Finance&lt;/i&gt; 3, no. 4 (2025): 283–96, https://doi.org/10.61978/moneta.v3i4.822."},"properties":{"noteIndex":15},"schema":"https://github.com/citation-style-language/schema/raw/master/csl-citation.json"}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Paulina and Susi Adiawaty, “Fiscal Transfers and the Persistence of Regional Inequality: A Critical Review of Indonesia’s Intergovernmental Funding System,” </w:t>
      </w:r>
      <w:r w:rsidRPr="00C33189">
        <w:rPr>
          <w:rFonts w:ascii="Garamond" w:hAnsi="Garamond"/>
          <w:i/>
          <w:noProof/>
        </w:rPr>
        <w:t>Moneta: Journal of Economics and Finance</w:t>
      </w:r>
      <w:r w:rsidRPr="00C33189">
        <w:rPr>
          <w:rFonts w:ascii="Garamond" w:hAnsi="Garamond"/>
          <w:noProof/>
        </w:rPr>
        <w:t xml:space="preserve"> 3, no. 4 (2025): 283–96, https://doi.org/10.61978/moneta.v3i4.822.</w:t>
      </w:r>
      <w:r w:rsidRPr="00C33189">
        <w:rPr>
          <w:rFonts w:ascii="Garamond" w:hAnsi="Garamond"/>
        </w:rPr>
        <w:fldChar w:fldCharType="end"/>
      </w:r>
    </w:p>
  </w:footnote>
  <w:footnote w:id="16">
    <w:p w14:paraId="69A86E2A" w14:textId="4BEB7F27" w:rsidR="00257851" w:rsidRPr="00C33189" w:rsidRDefault="00257851"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{"citationItems":[{"id":"ITEM-1","itemData":{"DOI":"10.35445/alishlah.v17i2.6803","ISSN":"2087-9490","author":[{"dropping-particle":"","family":"Widiastuti","given":"Ika","non-dropping-particle":"","parse-names":false,"suffix":""}],"container-title":"Al-Ishlah: Jurnal Pendidikan","id":"ITEM-1","issue":"2","issued":{"date-parts":[["2025","6"]]},"page":"1955-1964","publisher":"STAI Hubbulwathan Duri","title":"Assessing the Impact of Education Policies in Indonesia: Challenges, Achievement, and Future Direction","type":"article-journal","volume":"17"},"uris":["http://www.mendeley.com/documents/?uuid=d47f443b-c035-481c-a48e-6c81015bf6fd"]}],"mendeley":{"formattedCitation":"Ika Widiastuti, “Assessing the Impact of Education Policies in Indonesia: Challenges, Achievement, and Future Direction,” &lt;i&gt;Al-Ishlah: Jurnal Pendidikan&lt;/i&gt; 17, no. 2 (June 2025): 1955–64, https://doi.org/10.35445/alishlah.v17i2.6803.","plainTextFormattedCitation":"Ika Widiastuti, “Assessing the Impact of Education Policies in Indonesia: Challenges, Achievement, and Future Direction,” Al-Ishlah: Jurnal Pendidikan 17, no. 2 (June 2025): 1955–64, https://doi.org/10.35445/alishlah.v17i2.6803.","previouslyFormattedCitation":"Ika Widiastuti, “Assessing the Impact of Education Policies in Indonesia: Challenges, Achievement, and Future Direction,” &lt;i&gt;Al-Ishlah: Jurnal Pendidikan&lt;/i&gt; 17, no. 2 (June 2025): 1955–64, https://doi.org/10.35445/alishlah.v17i2.6803."},"properties":{"noteIndex":16},"schema":"https://github.com/citation-style-language/schema/raw/master/csl-citation.json"}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Ika Widiastuti, “Assessing the Impact of Education Policies in Indonesia: Challenges, Achievement, and Future Direction,” </w:t>
      </w:r>
      <w:r w:rsidRPr="00C33189">
        <w:rPr>
          <w:rFonts w:ascii="Garamond" w:hAnsi="Garamond"/>
          <w:i/>
          <w:noProof/>
        </w:rPr>
        <w:t>Al-Ishlah: Jurnal Pendidikan</w:t>
      </w:r>
      <w:r w:rsidRPr="00C33189">
        <w:rPr>
          <w:rFonts w:ascii="Garamond" w:hAnsi="Garamond"/>
          <w:noProof/>
        </w:rPr>
        <w:t xml:space="preserve"> 17, no. 2 (June 2025): 1955–64, https://doi.org/10.35445/alishlah.v17i2.6803.</w:t>
      </w:r>
      <w:r w:rsidRPr="00C33189">
        <w:rPr>
          <w:rFonts w:ascii="Garamond" w:hAnsi="Garamond"/>
        </w:rPr>
        <w:fldChar w:fldCharType="end"/>
      </w:r>
    </w:p>
  </w:footnote>
  <w:footnote w:id="17">
    <w:p w14:paraId="349D51CA" w14:textId="117E60B9" w:rsidR="00532ECD" w:rsidRPr="00C33189" w:rsidRDefault="00532ECD"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257851" w:rsidRPr="00C33189">
        <w:rPr>
          <w:rFonts w:ascii="Garamond" w:hAnsi="Garamond"/>
        </w:rPr>
        <w:instrText>ADDIN CSL_CITATION {"citationItems":[{"id":"ITEM-1","itemData":{"ISSN":"2830-6430 (print), 2830-683X (online)","author":[{"dropping-particle":"","family":"Zainuddin","given":"Muhammad","non-dropping-particle":"","parse-names":false,"suffix":""},{"dropping-particle":"","family":"Karina","given":"Aisyah Dinda","non-dropping-particle":"","parse-names":false,"suffix":""}],"container-title":"Smart Law Journal","id":"ITEM-1","issue":"2","issued":{"date-parts":[["2023"]]},"page":"114-123","title":"Penggunaan Metode Yuridis Normatif dalam Membuktikan Kebenaran pada Penelitian Hukum / Use of Normative Juridical Methods in Proving the Truth in Legal Research","type":"article-journal","volume":"2"},"uris":["http://www.mendeley.com/documents/?uuid=245968d3-0847-4622-8766-3e67d292e9e6"]}],"mendeley":{"formattedCitation":"Muhammad Zainuddin and Aisyah Dinda Karina, “Penggunaan Metode Yuridis Normatif Dalam Membuktikan Kebenaran Pada Penelitian Hukum / Use of Normative Juridical Methods in Proving the Truth in Legal Research,” &lt;i&gt;Smart Law Journal&lt;/i&gt; 2, no. 2 (2023): 114–23, http://stikesyahoedsmg.ac.id/ojs/index.php/slj.","plainTextFormattedCitation":"Muhammad Zainuddin and Aisyah Dinda Karina, “Penggunaan Metode Yuridis Normatif Dalam Membuktikan Kebenaran Pada Penelitian Hukum / Use of Normative Juridical Methods in Proving the Truth in Legal Research,” Smart Law Journal 2, no. 2 (2023): 114–23, http://stikesyahoedsmg.ac.id/ojs/index.php/slj.","previouslyFormattedCitation":"Muhammad Zainuddin and Aisyah Dinda Karina, “Penggunaan Metode Yuridis Normatif Dalam Membuktikan Kebenaran Pada Penelitian Hukum / Use of Normative Juridical Methods in Proving the Truth in Legal Research,” &lt;i&gt;Smart Law Journal&lt;/i&gt; 2, no. 2 (2023): 114–23, http://stikesyahoedsmg.ac.id/ojs/index.php/slj."},"properties":{"noteIndex":17},"schema":"https://github.com/citation-style-language/schema/raw/master/csl-citation.json"}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Muhammad Zainuddin and Aisyah Dinda Karina, “Penggunaan Metode Yuridis Normatif Dalam Membuktikan Kebenaran Pada Penelitian Hukum / Use of Normative Juridical Methods in Proving the Truth in Legal Research,” </w:t>
      </w:r>
      <w:r w:rsidRPr="00C33189">
        <w:rPr>
          <w:rFonts w:ascii="Garamond" w:hAnsi="Garamond"/>
          <w:i/>
          <w:noProof/>
        </w:rPr>
        <w:t>Smart Law Journal</w:t>
      </w:r>
      <w:r w:rsidRPr="00C33189">
        <w:rPr>
          <w:rFonts w:ascii="Garamond" w:hAnsi="Garamond"/>
          <w:noProof/>
        </w:rPr>
        <w:t xml:space="preserve"> 2, no. 2 (2023): 114–23, http://stikesyahoedsmg.ac.id/ojs/index.php/slj.</w:t>
      </w:r>
      <w:r w:rsidRPr="00C33189">
        <w:rPr>
          <w:rFonts w:ascii="Garamond" w:hAnsi="Garamond"/>
        </w:rPr>
        <w:fldChar w:fldCharType="end"/>
      </w:r>
    </w:p>
  </w:footnote>
  <w:footnote w:id="18">
    <w:p w14:paraId="4463FAC7" w14:textId="3C0D0832" w:rsidR="00532ECD" w:rsidRPr="00C33189" w:rsidRDefault="00532ECD"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257851" w:rsidRPr="00C33189">
        <w:rPr>
          <w:rFonts w:ascii="Garamond" w:hAnsi="Garamond"/>
        </w:rPr>
        <w:instrText>ADDIN CSL_CITATION {"citationItems":[{"id":"ITEM-1","itemData":{"author":[{"dropping-particle":"","family":"Sutedi","given":"Ahmad","non-dropping-particle":"","parse-names":false,"suffix":""}],"id":"ITEM-1","issued":{"date-parts":[["2020"]]},"publisher":"Refika Aditama","publisher-place":"Bandung","title":"Metodologi Penelitian Hukum: Pendekatan Normatif dan Socio-Legal","type":"book"},"uris":["http://www.mendeley.com/documents/?uuid=7843caa1-9545-468d-bca8-96c9d23b0f65"]}],"mendeley":{"formattedCitation":"Ahmad Sutedi, &lt;i&gt;Metodologi Penelitian Hukum: Pendekatan Normatif Dan Socio-Legal&lt;/i&gt; (Bandung: Refika Aditama, 2020).","plainTextFormattedCitation":"Ahmad Sutedi, Metodologi Penelitian Hukum: Pendekatan Normatif Dan Socio-Legal (Bandung: Refika Aditama, 2020).","previouslyFormattedCitation":"Ahmad Sutedi, &lt;i&gt;Metodologi Penelitian Hukum: Pendekatan Normatif Dan Socio-Legal&lt;/i&gt; (Bandung: Refika Aditama, 2020)."},"properties":{"noteIndex":18},"schema":"https://github.com/citation-style-language/schema/raw/master/csl-citation.json"}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Ahmad Sutedi, </w:t>
      </w:r>
      <w:r w:rsidRPr="00C33189">
        <w:rPr>
          <w:rFonts w:ascii="Garamond" w:hAnsi="Garamond"/>
          <w:i/>
          <w:noProof/>
        </w:rPr>
        <w:t>Metodologi Penelitian Hukum: Pendekatan Normatif Dan Socio-Legal</w:t>
      </w:r>
      <w:r w:rsidRPr="00C33189">
        <w:rPr>
          <w:rFonts w:ascii="Garamond" w:hAnsi="Garamond"/>
          <w:noProof/>
        </w:rPr>
        <w:t xml:space="preserve"> (Bandung: Refika Aditama, 2020).</w:t>
      </w:r>
      <w:r w:rsidRPr="00C33189">
        <w:rPr>
          <w:rFonts w:ascii="Garamond" w:hAnsi="Garamond"/>
        </w:rPr>
        <w:fldChar w:fldCharType="end"/>
      </w:r>
    </w:p>
  </w:footnote>
  <w:footnote w:id="19">
    <w:p w14:paraId="01E4C01C" w14:textId="04C9800F" w:rsidR="00532ECD" w:rsidRPr="00C33189" w:rsidRDefault="00532ECD"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257851" w:rsidRPr="00C33189">
        <w:rPr>
          <w:rFonts w:ascii="Garamond" w:hAnsi="Garamond"/>
        </w:rPr>
        <w:instrText>ADDIN CSL_CITATION {"citationItems":[{"id":"ITEM-1","itemData":{"author":[{"dropping-particle":"","family":"Ibrahim","given":"Johny","non-dropping-particle":"","parse-names":false,"suffix":""}],"id":"ITEM-1","issued":{"date-parts":[["2021"]]},"number-of-pages":"45","publisher":"Bayumedia Publishing","publisher-place":"Jawa Timur","title":"Teori dan Metodologi Penelitian Hukum Normatif","type":"book"},"uris":["http://www.mendeley.com/documents/?uuid=af402c06-ad5f-4cba-91d8-f14955caea73"]}],"mendeley":{"formattedCitation":"Johny Ibrahim, &lt;i&gt;Teori Dan Metodologi Penelitian Hukum Normatif&lt;/i&gt; (Jawa Timur: Bayumedia Publishing, 2021).","plainTextFormattedCitation":"Johny Ibrahim, Teori Dan Metodologi Penelitian Hukum Normatif (Jawa Timur: Bayumedia Publishing, 2021).","previouslyFormattedCitation":"Johny Ibrahim, &lt;i&gt;Teori Dan Metodologi Penelitian Hukum Normatif&lt;/i&gt; (Jawa Timur: Bayumedia Publishing, 2021)."},"properties":{"noteIndex":19},"schema":"https://github.com/citation-style-language/schema/raw/master/csl-citation.json"}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Johny Ibrahim, </w:t>
      </w:r>
      <w:r w:rsidRPr="00C33189">
        <w:rPr>
          <w:rFonts w:ascii="Garamond" w:hAnsi="Garamond"/>
          <w:i/>
          <w:noProof/>
        </w:rPr>
        <w:t>Teori Dan Metodologi Penelitian Hukum Normatif</w:t>
      </w:r>
      <w:r w:rsidRPr="00C33189">
        <w:rPr>
          <w:rFonts w:ascii="Garamond" w:hAnsi="Garamond"/>
          <w:noProof/>
        </w:rPr>
        <w:t xml:space="preserve"> (Jawa Timur: Bayumedia Publishing, 2021).</w:t>
      </w:r>
      <w:r w:rsidRPr="00C33189">
        <w:rPr>
          <w:rFonts w:ascii="Garamond" w:hAnsi="Garamond"/>
        </w:rPr>
        <w:fldChar w:fldCharType="end"/>
      </w:r>
    </w:p>
  </w:footnote>
  <w:footnote w:id="20">
    <w:p w14:paraId="50777168" w14:textId="5DD6C35E" w:rsidR="00495D42" w:rsidRPr="00C33189" w:rsidRDefault="00495D4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257851" w:rsidRPr="00C33189">
        <w:rPr>
          <w:rFonts w:ascii="Garamond" w:hAnsi="Garamond"/>
        </w:rPr>
        <w:instrText>ADDIN CSL_CITATION {"citationItems":[{"id":"ITEM-1","itemData":{"DOI":"10.28946/slrev.Vol4.Iss2.402.pp%25p","ISSN":"2541-5298","author":[{"dropping-particle":"","family":"Zein","given":"Yahya Ahmad","non-dropping-particle":"","parse-names":false,"suffix":""},{"dropping-particle":"","family":"Rohman","given":"Arif","non-dropping-particle":"","parse-names":false,"suffix":""},{"dropping-particle":"","family":"Nurvianti","given":"Dewi","non-dropping-particle":"","parse-names":false,"suffix":""}],"container-title":"Sriwijaya Law Review","id":"ITEM-1","issue":"2","issued":{"date-parts":[["2020"]]},"page":"238-248","publisher":"Faculty of Law, Sriwijaya University","title":"The Fulfilment of Right to Education for Persons with Disabilities: A Challenge in a Border Area","type":"article-journal","volume":"4"},"uris":["http://www.mendeley.com/documents/?uuid=a47e2786-fea0-4d0a-8280-24ef2b16c1b8"]}],"mendeley":{"formattedCitation":"Yahya Ahmad Zein, Arif Rohman, and Dewi Nurvianti, “The Fulfilment of Right to Education for Persons with Disabilities: A Challenge in a Border Area,” &lt;i&gt;Sriwijaya Law Review&lt;/i&gt; 4, no. 2 (2020): 238–48, https://doi.org/10.28946/slrev.Vol4.Iss2.402.pp%25p.","plainTextFormattedCitation":"Yahya Ahmad Zein, Arif Rohman, and Dewi Nurvianti, “The Fulfilment of Right to Education for Persons with Disabilities: A Challenge in a Border Area,” Sriwijaya Law Review 4, no. 2 (2020): 238–48, https://doi.org/10.28946/slrev.Vol4.Iss2.402.pp%25p.","previouslyFormattedCitation":"Yahya Ahmad Zein, Arif Rohman, and Dewi Nurvianti, “The Fulfilment of Right to Education for Persons with Disabilities: A Challenge in a Border Area,” &lt;i&gt;Sriwijaya Law Review&lt;/i&gt; 4, no. 2 (2020): 238–48, https://doi.org/10.28946/slrev.Vol4.Iss2.402.pp%25p."},"properties":{"noteIndex":20},"schema":"https://github.com/citation-style-language/schema/raw/master/csl-citation.json"}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Yahya Ahmad Zein, Arif Rohman, and Dewi Nurvianti, “The Fulfilment of Right to Education for Persons with Disabilities: A Challenge in a Border Area,” </w:t>
      </w:r>
      <w:r w:rsidRPr="00C33189">
        <w:rPr>
          <w:rFonts w:ascii="Garamond" w:hAnsi="Garamond"/>
          <w:i/>
          <w:noProof/>
        </w:rPr>
        <w:t>Sriwijaya Law Review</w:t>
      </w:r>
      <w:r w:rsidRPr="00C33189">
        <w:rPr>
          <w:rFonts w:ascii="Garamond" w:hAnsi="Garamond"/>
          <w:noProof/>
        </w:rPr>
        <w:t xml:space="preserve"> 4, no. 2 (2020): 238–48, https://doi.org/10.28946/slrev.Vol4.Iss2.402.pp%25p.</w:t>
      </w:r>
      <w:r w:rsidRPr="00C33189">
        <w:rPr>
          <w:rFonts w:ascii="Garamond" w:hAnsi="Garamond"/>
        </w:rPr>
        <w:fldChar w:fldCharType="end"/>
      </w:r>
    </w:p>
  </w:footnote>
  <w:footnote w:id="21">
    <w:p w14:paraId="6DA4ADE5" w14:textId="3F3CE2AD" w:rsidR="00495D42" w:rsidRPr="00C33189" w:rsidRDefault="00495D4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257851" w:rsidRPr="00C33189">
        <w:rPr>
          <w:rFonts w:ascii="Garamond" w:hAnsi="Garamond"/>
        </w:rPr>
        <w:instrText>ADDIN CSL_CITATION {"citationItems":[{"id":"ITEM-1","itemData":{"DOI":"10.6000/1929-4409.2021.10.116","ISSN":"1929-4409","author":[{"dropping-particle":"","family":"Itasari","given":"Endah Rantau","non-dropping-particle":"","parse-names":false,"suffix":""},{"dropping-particle":"","family":"Mangku","given":"Dewa Gede Sudika","non-dropping-particle":"","parse-names":false,"suffix":""},{"dropping-particle":"","family":"Yuliartini","given":"Ni Putu Rai","non-dropping-particle":"","parse-names":false,"suffix":""},{"dropping-particle":"","family":"Purwendah","given":"Elly Kristiani","non-dropping-particle":"","parse-names":false,"suffix":""},{"dropping-particle":"","family":"Yustitianingtyas","given":"Levina","non-dropping-particle":"","parse-names":false,"suffix":""},{"dropping-particle":"","family":"Harjiyatni","given":"Francisca Romana","non-dropping-particle":"","parse-names":false,"suffix":""},{"dropping-particle":"","family":"Wirawan","given":"I Gusti Made Arya Suta","non-dropping-particle":"","parse-names":false,"suffix":""}],"container-title":"International Journal of Criminology and Sociology","id":"ITEM-1","issued":{"date-parts":[["2021"]]},"page":"984-991","publisher":"Lifescience Global","title":"Indonesia’s Role in Fulfilling the Right to Education Elementary and Intermediate in Border Areas","type":"article-journal","volume":"10"},"uris":["http://www.mendeley.com/documents/?uuid=bce85ffd-0fbc-44d1-a8b9-572ac02ecd2a"]}],"mendeley":{"formattedCitation":"Endah Rantau Itasari et al., “Indonesia’s Role in Fulfilling the Right to Education Elementary and Intermediate in Border Areas,” &lt;i&gt;International Journal of Criminology and Sociology&lt;/i&gt; 10 (2021): 984–91, https://doi.org/10.6000/1929-4409.2021.10.116.","plainTextFormattedCitation":"Endah Rantau Itasari et al., “Indonesia’s Role in Fulfilling the Right to Education Elementary and Intermediate in Border Areas,” International Journal of Criminology and Sociology 10 (2021): 984–91, https://doi.org/10.6000/1929-4409.2021.10.116.","previouslyFormattedCitation":"Endah Rantau Itasari et al., “Indonesia’s Role in Fulfilling the Right to Education Elementary and Intermediate in Border Areas,” &lt;i&gt;International Journal of Criminology and Sociology&lt;/i&gt; 10 (2021): 984–91, https://doi.org/10.6000/1929-4409.2021.10.116."},"properties":{"noteIndex":21},"schema":"https://github.com/citation-style-language/schema/raw/master/csl-citation.json"}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Endah Rantau Itasari et al., “Indonesia’s Role in Fulfilling the Right to Education Elementary and Intermediate in Border Areas,” </w:t>
      </w:r>
      <w:r w:rsidRPr="00C33189">
        <w:rPr>
          <w:rFonts w:ascii="Garamond" w:hAnsi="Garamond"/>
          <w:i/>
          <w:noProof/>
        </w:rPr>
        <w:t>International Journal of Criminology and Sociology</w:t>
      </w:r>
      <w:r w:rsidRPr="00C33189">
        <w:rPr>
          <w:rFonts w:ascii="Garamond" w:hAnsi="Garamond"/>
          <w:noProof/>
        </w:rPr>
        <w:t xml:space="preserve"> 10 (2021): 984–91, https://doi.org/10.6000/1929-4409.2021.10.116.</w:t>
      </w:r>
      <w:r w:rsidRPr="00C33189">
        <w:rPr>
          <w:rFonts w:ascii="Garamond" w:hAnsi="Garamond"/>
        </w:rPr>
        <w:fldChar w:fldCharType="end"/>
      </w:r>
    </w:p>
  </w:footnote>
  <w:footnote w:id="22">
    <w:p w14:paraId="23A1BB10" w14:textId="3F7F1DC5" w:rsidR="00495D42" w:rsidRPr="00C33189" w:rsidRDefault="00495D4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257851" w:rsidRPr="00C33189">
        <w:rPr>
          <w:rFonts w:ascii="Garamond" w:hAnsi="Garamond"/>
        </w:rPr>
        <w:instrText>ADDIN CSL_CITATION {"citationItems":[{"id":"ITEM-1","itemData":{"DOI":"10.23887/jatayu.v5i1.47950","author":[{"dropping-particle":"","family":"Itasari","given":"Endah Rantau","non-dropping-particle":"","parse-names":false,"suffix":""}],"container-title":"Jurnal Komunitas Yustisia","id":"ITEM-1","issue":"1","issued":{"date-parts":[["2022","3"]]},"page":"415-434","title":"Pelaksanaan Kesesuaian Pemenuhan Hak atas Pendidikan Dasar dan Menengah di Kawasan Perbatasan di Provinsi Kalimantan Barat Berdasarkan ICESCR","type":"article-journal","volume":"5"},"uris":["http://www.mendeley.com/documents/?uuid=1355ffc2-8a51-46e1-9569-1a5d9effe5be"]}],"mendeley":{"formattedCitation":"Itasari, “Pelaksanaan Kesesuaian Pemenuhan Hak Atas Pendidikan Dasar Dan Menengah Di Kawasan Perbatasan Di Provinsi Kalimantan Barat Berdasarkan ICESCR.”","plainTextFormattedCitation":"Itasari, “Pelaksanaan Kesesuaian Pemenuhan Hak Atas Pendidikan Dasar Dan Menengah Di Kawasan Perbatasan Di Provinsi Kalimantan Barat Berdasarkan ICESCR.”","previouslyFormattedCitation":"Itasari, “Pelaksanaan Kesesuaian Pemenuhan Hak Atas Pendidikan Dasar Dan Menengah Di Kawasan Perbatasan Di Provinsi Kalimantan Barat Berdasarkan ICESCR.”"},"properties":{"noteIndex":22},"schema":"https://github.com/citation-style-language/schema/raw/master/csl-citation.json"}</w:instrText>
      </w:r>
      <w:r w:rsidRPr="00C33189">
        <w:rPr>
          <w:rFonts w:ascii="Garamond" w:hAnsi="Garamond"/>
        </w:rPr>
        <w:fldChar w:fldCharType="separate"/>
      </w:r>
      <w:r w:rsidRPr="00C33189">
        <w:rPr>
          <w:rFonts w:ascii="Garamond" w:hAnsi="Garamond"/>
          <w:noProof/>
        </w:rPr>
        <w:t>Itasari, “Pelaksanaan Kesesuaian Pemenuhan Hak Atas Pendidikan Dasar Dan Menengah Di Kawasan Perbatasan Di Provinsi Kalimantan Barat Berdasarkan ICESCR.”</w:t>
      </w:r>
      <w:r w:rsidRPr="00C33189">
        <w:rPr>
          <w:rFonts w:ascii="Garamond" w:hAnsi="Garamond"/>
        </w:rPr>
        <w:fldChar w:fldCharType="end"/>
      </w:r>
    </w:p>
  </w:footnote>
  <w:footnote w:id="23">
    <w:p w14:paraId="3BD9EBCD" w14:textId="7610373E" w:rsidR="00495D42" w:rsidRPr="00C33189" w:rsidRDefault="00495D4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257851" w:rsidRPr="00C33189">
        <w:rPr>
          <w:rFonts w:ascii="Garamond" w:hAnsi="Garamond"/>
        </w:rPr>
        <w:instrText>ADDIN CSL_CITATION {"citationItems":[{"id":"ITEM-1","itemData":{"DOI":"10.61838/kman.ijes.7.1.22","author":[{"dropping-particle":"","family":"Şahin","given":"Ayşe","non-dropping-particle":"","parse-names":false,"suffix":""},{"dropping-particle":"","family":"Soylu","given":"Dilek","non-dropping-particle":"","parse-names":false,"suffix":""},{"dropping-particle":"","family":"Jafari","given":"Mohammadbagher","non-dropping-particle":"","parse-names":false,"suffix":""}],"container-title":"Iranian Journal of Educational Sociology","id":"ITEM-1","issue":"1","issued":{"date-parts":[["2024"]]},"page":"219-225","title":"Professional Development Needs of Teachers in Rural Schools","type":"article-journal","volume":"7"},"uris":["http://www.mendeley.com/documents/?uuid=6d101973-5ccc-4cbf-b66b-ca06cacb42fc"]}],"mendeley":{"formattedCitation":"Ayşe Şahin, Dilek Soylu, and Mohammadbagher Jafari, “Professional Development Needs of Teachers in Rural Schools,” &lt;i&gt;Iranian Journal of Educational Sociology&lt;/i&gt; 7, no. 1 (2024): 219–25, https://doi.org/10.61838/kman.ijes.7.1.22.","plainTextFormattedCitation":"Ayşe Şahin, Dilek Soylu, and Mohammadbagher Jafari, “Professional Development Needs of Teachers in Rural Schools,” Iranian Journal of Educational Sociology 7, no. 1 (2024): 219–25, https://doi.org/10.61838/kman.ijes.7.1.22.","previouslyFormattedCitation":"Ayşe Şahin, Dilek Soylu, and Mohammadbagher Jafari, “Professional Development Needs of Teachers in Rural Schools,” &lt;i&gt;Iranian Journal of Educational Sociology&lt;/i&gt; 7, no. 1 (2024): 219–25, https://doi.org/10.61838/kman.ijes.7.1.22."},"properties":{"noteIndex":23},"schema":"https://github.com/citation-style-language/schema/raw/master/csl-citation.json"}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Ayşe Şahin, Dilek Soylu, and Mohammadbagher Jafari, “Professional Development Needs of Teachers in Rural Schools,” </w:t>
      </w:r>
      <w:r w:rsidRPr="00C33189">
        <w:rPr>
          <w:rFonts w:ascii="Garamond" w:hAnsi="Garamond"/>
          <w:i/>
          <w:noProof/>
        </w:rPr>
        <w:t>Iranian Journal of Educational Sociology</w:t>
      </w:r>
      <w:r w:rsidRPr="00C33189">
        <w:rPr>
          <w:rFonts w:ascii="Garamond" w:hAnsi="Garamond"/>
          <w:noProof/>
        </w:rPr>
        <w:t xml:space="preserve"> 7, no. 1 (2024): 219–25, https://doi.org/10.61838/kman.ijes.7.1.22.</w:t>
      </w:r>
      <w:r w:rsidRPr="00C33189">
        <w:rPr>
          <w:rFonts w:ascii="Garamond" w:hAnsi="Garamond"/>
        </w:rPr>
        <w:fldChar w:fldCharType="end"/>
      </w:r>
    </w:p>
  </w:footnote>
  <w:footnote w:id="24">
    <w:p w14:paraId="55914459" w14:textId="201A0281" w:rsidR="00495D42" w:rsidRPr="00C33189" w:rsidRDefault="00495D4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257851" w:rsidRPr="00C33189">
        <w:rPr>
          <w:rFonts w:ascii="Garamond" w:hAnsi="Garamond"/>
        </w:rPr>
        <w:instrText>ADDIN CSL_CITATION {"citationItems":[{"id":"ITEM-1","itemData":{"DOI":"10.23887/jatayu.v5i1.47950","author":[{"dropping-particle":"","family":"Itasari","given":"Endah Rantau","non-dropping-particle":"","parse-names":false,"suffix":""}],"container-title":"Jurnal Komunitas Yustisia","id":"ITEM-1","issue":"1","issued":{"date-parts":[["2022","3"]]},"page":"415-434","title":"Pelaksanaan Kesesuaian Pemenuhan Hak atas Pendidikan Dasar dan Menengah di Kawasan Perbatasan di Provinsi Kalimantan Barat Berdasarkan ICESCR","type":"article-journal","volume":"5"},"uris":["http://www.mendeley.com/documents/?uuid=1355ffc2-8a51-46e1-9569-1a5d9effe5be"]}],"mendeley":{"formattedCitation":"Itasari, “Pelaksanaan Kesesuaian Pemenuhan Hak Atas Pendidikan Dasar Dan Menengah Di Kawasan Perbatasan Di Provinsi Kalimantan Barat Berdasarkan ICESCR.”","plainTextFormattedCitation":"Itasari, “Pelaksanaan Kesesuaian Pemenuhan Hak Atas Pendidikan Dasar Dan Menengah Di Kawasan Perbatasan Di Provinsi Kalimantan Barat Berdasarkan ICESCR.”","previouslyFormattedCitation":"Itasari, “Pelaksanaan Kesesuaian Pemenuhan Hak Atas Pendidikan Dasar Dan Menengah Di Kawasan Perbatasan Di Provinsi Kalimantan Barat Berdasarkan ICESCR.”"},"properties":{"noteIndex":24},"schema":"https://github.com/citation-style-language/schema/raw/master/csl-citation.json"}</w:instrText>
      </w:r>
      <w:r w:rsidRPr="00C33189">
        <w:rPr>
          <w:rFonts w:ascii="Garamond" w:hAnsi="Garamond"/>
        </w:rPr>
        <w:fldChar w:fldCharType="separate"/>
      </w:r>
      <w:r w:rsidRPr="00C33189">
        <w:rPr>
          <w:rFonts w:ascii="Garamond" w:hAnsi="Garamond"/>
          <w:noProof/>
        </w:rPr>
        <w:t>Itasari, “Pelaksanaan Kesesuaian Pemenuhan Hak Atas Pendidikan Dasar Dan Menengah Di Kawasan Perbatasan Di Provinsi Kalimantan Barat Berdasarkan ICESCR.”</w:t>
      </w:r>
      <w:r w:rsidRPr="00C33189">
        <w:rPr>
          <w:rFonts w:ascii="Garamond" w:hAnsi="Garamond"/>
        </w:rPr>
        <w:fldChar w:fldCharType="end"/>
      </w:r>
    </w:p>
  </w:footnote>
  <w:footnote w:id="25">
    <w:p w14:paraId="2A949B98" w14:textId="35CE62A0" w:rsidR="00495D42" w:rsidRPr="00C33189" w:rsidRDefault="00495D4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257851" w:rsidRPr="00C33189">
        <w:rPr>
          <w:rFonts w:ascii="Garamond" w:hAnsi="Garamond"/>
        </w:rPr>
        <w:instrText>ADDIN CSL_CITATION {"citationItems":[{"id":"ITEM-1","itemData":{"DOI":"10.4236/ce.2023.144052","author":[{"dropping-particle":"","family":"Yangambi","given":"Matthieu","non-dropping-particle":"","parse-names":false,"suffix":""}],"container-title":"Creative Education","id":"ITEM-1","issued":{"date-parts":[["2023"]]},"page":"788-809","title":"Impact of School Infrastructures on Students Learning and Performance: Case of Three Public Schools in a Developing Country","type":"article-journal","volume":"14"},"uris":["http://www.mendeley.com/documents/?uuid=6d24b7f9-24e5-4709-9c3c-a332f52e78d7"]}],"mendeley":{"formattedCitation":"Matthieu Yangambi, “Impact of School Infrastructures on Students Learning and Performance: Case of Three Public Schools in a Developing Country,” &lt;i&gt;Creative Education&lt;/i&gt; 14 (2023): 788–809, https://doi.org/10.4236/ce.2023.144052.","plainTextFormattedCitation":"Matthieu Yangambi, “Impact of School Infrastructures on Students Learning and Performance: Case of Three Public Schools in a Developing Country,” Creative Education 14 (2023): 788–809, https://doi.org/10.4236/ce.2023.144052.","previouslyFormattedCitation":"Matthieu Yangambi, “Impact of School Infrastructures on Students Learning and Performance: Case of Three Public Schools in a Developing Country,” &lt;i&gt;Creative Education&lt;/i&gt; 14 (2023): 788–809, https://doi.org/10.4236/ce.2023.144052."},"properties":{"noteIndex":25},"schema":"https://github.com/citation-style-language/schema/raw/master/csl-citation.json"}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Matthieu Yangambi, “Impact of School Infrastructures on Students Learning and Performance: Case of Three Public Schools in a Developing Country,” </w:t>
      </w:r>
      <w:r w:rsidRPr="00C33189">
        <w:rPr>
          <w:rFonts w:ascii="Garamond" w:hAnsi="Garamond"/>
          <w:i/>
          <w:noProof/>
        </w:rPr>
        <w:t>Creative Education</w:t>
      </w:r>
      <w:r w:rsidRPr="00C33189">
        <w:rPr>
          <w:rFonts w:ascii="Garamond" w:hAnsi="Garamond"/>
          <w:noProof/>
        </w:rPr>
        <w:t xml:space="preserve"> 14 (2023): 788–809, https://doi.org/10.4236/ce.2023.144052.</w:t>
      </w:r>
      <w:r w:rsidRPr="00C33189">
        <w:rPr>
          <w:rFonts w:ascii="Garamond" w:hAnsi="Garamond"/>
        </w:rPr>
        <w:fldChar w:fldCharType="end"/>
      </w:r>
    </w:p>
  </w:footnote>
  <w:footnote w:id="26">
    <w:p w14:paraId="153A5C9B" w14:textId="778C93D9" w:rsidR="00495D42" w:rsidRPr="00C33189" w:rsidRDefault="00495D4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257851" w:rsidRPr="00C33189">
        <w:rPr>
          <w:rFonts w:ascii="Garamond" w:hAnsi="Garamond"/>
        </w:rPr>
        <w:instrText>ADDIN CSL_CITATION {"citationItems":[{"id":"ITEM-1","itemData":{"DOI":"10.34010/agregasi.v9i1.4121","ISSN":"2337-5299","author":[{"dropping-particle":"","family":"Surya","given":"Iman","non-dropping-particle":"","parse-names":false,"suffix":""},{"dropping-particle":"","family":"Budiman","given":"","non-dropping-particle":"","parse-names":false,"suffix":""},{"dropping-particle":"","family":"Syarifuddin","given":"Tengku Imam","non-dropping-particle":"","parse-names":false,"suffix":""},{"dropping-particle":"","family":"Nurmiyati","given":"Niken","non-dropping-particle":"","parse-names":false,"suffix":""}],"container-title":"Jurnal Agregasi: Jurnal Aksi Reformasi Government Dalam Demokrasi","id":"ITEM-1","issue":"1","issued":{"date-parts":[["2021","5"]]},"page":"1-23","title":"Dampak Desentralisasi terhadap Pelayanan Pendidikan di Daerah Perbatasan Kalimantan","type":"article-journal","volume":"9"},"uris":["http://www.mendeley.com/documents/?uuid=7fa26c07-0259-49b8-b48b-69ad5ac53fcb"]}],"mendeley":{"formattedCitation":"Surya et al., “Dampak Desentralisasi Terhadap Pelayanan Pendidikan Di Daerah Perbatasan Kalimantan.”","plainTextFormattedCitation":"Surya et al., “Dampak Desentralisasi Terhadap Pelayanan Pendidikan Di Daerah Perbatasan Kalimantan.”","previouslyFormattedCitation":"Surya et al., “Dampak Desentralisasi Terhadap Pelayanan Pendidikan Di Daerah Perbatasan Kalimantan.”"},"properties":{"noteIndex":26},"schema":"https://github.com/citation-style-language/schema/raw/master/csl-citation.json"}</w:instrText>
      </w:r>
      <w:r w:rsidRPr="00C33189">
        <w:rPr>
          <w:rFonts w:ascii="Garamond" w:hAnsi="Garamond"/>
        </w:rPr>
        <w:fldChar w:fldCharType="separate"/>
      </w:r>
      <w:r w:rsidRPr="00C33189">
        <w:rPr>
          <w:rFonts w:ascii="Garamond" w:hAnsi="Garamond"/>
          <w:noProof/>
        </w:rPr>
        <w:t>Surya et al., “Dampak Desentralisasi Terhadap Pelayanan Pendidikan Di Daerah Perbatasan Kalimantan.”</w:t>
      </w:r>
      <w:r w:rsidRPr="00C33189">
        <w:rPr>
          <w:rFonts w:ascii="Garamond" w:hAnsi="Garamond"/>
        </w:rPr>
        <w:fldChar w:fldCharType="end"/>
      </w:r>
    </w:p>
  </w:footnote>
  <w:footnote w:id="27">
    <w:p w14:paraId="585D9912" w14:textId="64DBCA87" w:rsidR="00495D42" w:rsidRPr="00C33189" w:rsidRDefault="00495D4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257851" w:rsidRPr="00C33189">
        <w:rPr>
          <w:rFonts w:ascii="Garamond" w:hAnsi="Garamond"/>
        </w:rPr>
        <w:instrText>ADDIN CSL_CITATION {"citationItems":[{"id":"ITEM-1","itemData":{"DOI":"10.34010/agregasi.v9i1.4121","ISSN":"2337-5299","author":[{"dropping-particle":"","family":"Surya","given":"Iman","non-dropping-particle":"","parse-names":false,"suffix":""},{"dropping-particle":"","family":"Budiman","given":"","non-dropping-particle":"","parse-names":false,"suffix":""},{"dropping-particle":"","family":"Syarifuddin","given":"Tengku Imam","non-dropping-particle":"","parse-names":false,"suffix":""},{"dropping-particle":"","family":"Nurmiyati","given":"Niken","non-dropping-particle":"","parse-names":false,"suffix":""}],"container-title":"Jurnal Agregasi: Jurnal Aksi Reformasi Government Dalam Demokrasi","id":"ITEM-1","issue":"1","issued":{"date-parts":[["2021","5"]]},"page":"1-23","title":"Dampak Desentralisasi terhadap Pelayanan Pendidikan di Daerah Perbatasan Kalimantan","type":"article-journal","volume":"9"},"uris":["http://www.mendeley.com/documents/?uuid=7fa26c07-0259-49b8-b48b-69ad5ac53fcb"]}],"mendeley":{"formattedCitation":"Surya et al.","plainTextFormattedCitation":"Surya et al.","previouslyFormattedCitation":"Surya et al."},"properties":{"noteIndex":27},"schema":"https://github.com/citation-style-language/schema/raw/master/csl-citation.json"}</w:instrText>
      </w:r>
      <w:r w:rsidRPr="00C33189">
        <w:rPr>
          <w:rFonts w:ascii="Garamond" w:hAnsi="Garamond"/>
        </w:rPr>
        <w:fldChar w:fldCharType="separate"/>
      </w:r>
      <w:r w:rsidRPr="00C33189">
        <w:rPr>
          <w:rFonts w:ascii="Garamond" w:hAnsi="Garamond"/>
          <w:noProof/>
        </w:rPr>
        <w:t>Surya et al.</w:t>
      </w:r>
      <w:r w:rsidRPr="00C33189">
        <w:rPr>
          <w:rFonts w:ascii="Garamond" w:hAnsi="Garamond"/>
        </w:rPr>
        <w:fldChar w:fldCharType="end"/>
      </w:r>
    </w:p>
  </w:footnote>
  <w:footnote w:id="28">
    <w:p w14:paraId="490627E2" w14:textId="11780E64" w:rsidR="00495D42" w:rsidRPr="00C33189" w:rsidRDefault="00495D4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257851" w:rsidRPr="00C33189">
        <w:rPr>
          <w:rFonts w:ascii="Garamond" w:hAnsi="Garamond"/>
        </w:rPr>
        <w:instrText>ADDIN CSL_CITATION {"citationItems":[{"id":"ITEM-1","itemData":{"ISBN":"978-602-6268-97-6","author":[{"dropping-particle":"","family":"Amirrachman","given":"H R Alpha","non-dropping-particle":"","parse-names":false,"suffix":""}],"id":"ITEM-1","issued":{"date-parts":[["2021"]]},"number-of-pages":"xx + 232","publisher":"Penerbit Suara Muhammadiyah in cooperation with SEAMEO Regional Open Learning Centre (SEAMOLEC)","publisher-place":"Yogyakarta, Indonesia","title":"Education Decentralisation in Indonesia: Community Participation, Market, Politics and Local Identity","type":"book"},"uris":["http://www.mendeley.com/documents/?uuid=a568440b-4bcb-41e9-a0eb-f4859b3c3bc2"]}],"mendeley":{"formattedCitation":"H R Alpha Amirrachman, &lt;i&gt;Education Decentralisation in Indonesia: Community Participation, Market, Politics and Local Identity&lt;/i&gt; (Yogyakarta, Indonesia: Penerbit Suara Muhammadiyah in cooperation with SEAMEO Regional Open Learning Centre (SEAMOLEC), 2021), https://seamolec.org/files/other/education_decentralisation_in_indonesia_-_community_participation,_market,_politics_and_local_identity_~_r._alpha_amirrachman,_2021.pdf.","plainTextFormattedCitation":"H R Alpha Amirrachman, Education Decentralisation in Indonesia: Community Participation, Market, Politics and Local Identity (Yogyakarta, Indonesia: Penerbit Suara Muhammadiyah in cooperation with SEAMEO Regional Open Learning Centre (SEAMOLEC), 2021), https://seamolec.org/files/other/education_decentralisation_in_indonesia_-_community_participation,_market,_politics_and_local_identity_~_r._alpha_amirrachman,_2021.pdf.","previouslyFormattedCitation":"H R Alpha Amirrachman, &lt;i&gt;Education Decentralisation in Indonesia: Community Participation, Market, Politics and Local Identity&lt;/i&gt; (Yogyakarta, Indonesia: Penerbit Suara Muhammadiyah in cooperation with SEAMEO Regional Open Learning Centre (SEAMOLEC), 2021), https://seamolec.org/files/other/education_decentralisation_in_indonesia_-_community_participation,_market,_politics_and_local_identity_~_r._alpha_amirrachman,_2021.pdf."},"properties":{"noteIndex":28},"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H R Alpha Amirrachman, </w:t>
      </w:r>
      <w:r w:rsidRPr="00C33189">
        <w:rPr>
          <w:rFonts w:ascii="Garamond" w:hAnsi="Garamond"/>
          <w:i/>
          <w:noProof/>
        </w:rPr>
        <w:t>Education Decentralisation in Indonesia: Community Participation, Market, Politics and Local Identity</w:t>
      </w:r>
      <w:r w:rsidRPr="00C33189">
        <w:rPr>
          <w:rFonts w:ascii="Garamond" w:hAnsi="Garamond"/>
          <w:noProof/>
        </w:rPr>
        <w:t xml:space="preserve"> (Yogyakarta, Indonesia: Penerbit Suara Muhammadiyah in cooperation with SEAMEO Regional Open Learning Centre (SEAMOLEC), 2021), https://seamolec.org/files/other/education_decentralisation_in_indonesia_-_community_participation,_market,_politics_and_local_identity_~_r._alpha_amirrachman,_2021.pdf.</w:t>
      </w:r>
      <w:r w:rsidRPr="00C33189">
        <w:rPr>
          <w:rFonts w:ascii="Garamond" w:hAnsi="Garamond"/>
        </w:rPr>
        <w:fldChar w:fldCharType="end"/>
      </w:r>
    </w:p>
  </w:footnote>
  <w:footnote w:id="29">
    <w:p w14:paraId="11E4FE9A" w14:textId="2991DD32" w:rsidR="00495D42" w:rsidRPr="00C33189" w:rsidRDefault="00495D4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257851" w:rsidRPr="00C33189">
        <w:rPr>
          <w:rFonts w:ascii="Garamond" w:hAnsi="Garamond"/>
        </w:rPr>
        <w:instrText>ADDIN CSL_CITATION {"citationItems":[{"id":"ITEM-1","itemData":{"DOI":"10.47191/ijsshr/v6-i10-76","ISSN":"2644-0679","author":[{"dropping-particle":"","family":"Sikwan","given":"Agus","non-dropping-particle":"","parse-names":false,"suffix":""},{"dropping-particle":"","family":"Sabran","given":"Muhammad","non-dropping-particle":"","parse-names":false,"suffix":""},{"dropping-particle":"","family":"Elyta","given":"","non-dropping-particle":"","parse-names":false,"suffix":""},{"dropping-particle":"","family":"Lutfie","given":"Ratu Zahirah","non-dropping-particle":"","parse-names":false,"suffix":""}],"container-title":"International Journal of Social Science And Human Research","id":"ITEM-1","issue":"10","issued":{"date-parts":[["2023"]]},"page":"6368-6373","title":"Potential and Challenges in Community Empowerment in the West Kalimantan Border Area","type":"article-journal","volume":"6"},"uris":["http://www.mendeley.com/documents/?uuid=43aadfbf-483f-4499-95b5-5ee61ad74e81"]}],"mendeley":{"formattedCitation":"Agus Sikwan et al., “Potential and Challenges in Community Empowerment in the West Kalimantan Border Area,” &lt;i&gt;International Journal of Social Science And Human Research&lt;/i&gt; 6, no. 10 (2023): 6368–73, https://doi.org/10.47191/ijsshr/v6-i10-76.","plainTextFormattedCitation":"Agus Sikwan et al., “Potential and Challenges in Community Empowerment in the West Kalimantan Border Area,” International Journal of Social Science And Human Research 6, no. 10 (2023): 6368–73, https://doi.org/10.47191/ijsshr/v6-i10-76.","previouslyFormattedCitation":"Agus Sikwan et al., “Potential and Challenges in Community Empowerment in the West Kalimantan Border Area,” &lt;i&gt;International Journal of Social Science And Human Research&lt;/i&gt; 6, no. 10 (2023): 6368–73, https://doi.org/10.47191/ijsshr/v6-i10-76."},"properties":{"noteIndex":29},"schema":"https://github.com/citation-style-language/schema/raw/master/csl-citation.json"}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Agus Sikwan et al., “Potential and Challenges in Community Empowerment in the West Kalimantan Border Area,” </w:t>
      </w:r>
      <w:r w:rsidRPr="00C33189">
        <w:rPr>
          <w:rFonts w:ascii="Garamond" w:hAnsi="Garamond"/>
          <w:i/>
          <w:noProof/>
        </w:rPr>
        <w:t>International Journal of Social Science And Human Research</w:t>
      </w:r>
      <w:r w:rsidRPr="00C33189">
        <w:rPr>
          <w:rFonts w:ascii="Garamond" w:hAnsi="Garamond"/>
          <w:noProof/>
        </w:rPr>
        <w:t xml:space="preserve"> 6, no. 10 (2023): 6368–73, https://doi.org/10.47191/ijsshr/v6-i10-76.</w:t>
      </w:r>
      <w:r w:rsidRPr="00C33189">
        <w:rPr>
          <w:rFonts w:ascii="Garamond" w:hAnsi="Garamond"/>
        </w:rPr>
        <w:fldChar w:fldCharType="end"/>
      </w:r>
    </w:p>
  </w:footnote>
  <w:footnote w:id="30">
    <w:p w14:paraId="28E340D0" w14:textId="2143EFDE" w:rsidR="00495D42" w:rsidRPr="00C33189" w:rsidRDefault="00495D4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257851" w:rsidRPr="00C33189">
        <w:rPr>
          <w:rFonts w:ascii="Garamond" w:hAnsi="Garamond"/>
        </w:rPr>
        <w:instrText>ADDIN CSL_CITATION {"citationItems":[{"id":"ITEM-1","itemData":{"DOI":"10.62754/joe.v4i1.6322","ISSN":"2752-6798","author":[{"dropping-particle":"","family":"Imran","given":"","non-dropping-particle":"","parse-names":false,"suffix":""},{"dropping-particle":"","family":"Ramadhan","given":"Iwan","non-dropping-particle":"","parse-names":false,"suffix":""},{"dropping-particle":"","family":"Daniel","given":"","non-dropping-particle":"","parse-names":false,"suffix":""},{"dropping-particle":"","family":"Suriyanisa","given":"","non-dropping-particle":"","parse-names":false,"suffix":""}],"container-title":"Journal of Ecohumanism","id":"ITEM-1","issue":"1","issued":{"date-parts":[["2025"]]},"page":"4383-4395","title":"Efforts to Strengthen Nationalist Character Education through Education and Community Empowerment Institutions in the Indonesia-Malaysia Borderlands","type":"article-journal","volume":"4"},"uris":["http://www.mendeley.com/documents/?uuid=fe544eec-d1ef-489d-a936-2c42fcc3a15f"]}],"mendeley":{"formattedCitation":"Imran et al., “Efforts to Strengthen Nationalist Character Education through Education and Community Empowerment Institutions in the Indonesia-Malaysia Borderlands,” &lt;i&gt;Journal of Ecohumanism&lt;/i&gt; 4, no. 1 (2025): 4383–95, https://doi.org/10.62754/joe.v4i1.6322.","plainTextFormattedCitation":"Imran et al., “Efforts to Strengthen Nationalist Character Education through Education and Community Empowerment Institutions in the Indonesia-Malaysia Borderlands,” Journal of Ecohumanism 4, no. 1 (2025): 4383–95, https://doi.org/10.62754/joe.v4i1.6322.","previouslyFormattedCitation":"Imran et al., “Efforts to Strengthen Nationalist Character Education through Education and Community Empowerment Institutions in the Indonesia-Malaysia Borderlands,” &lt;i&gt;Journal of Ecohumanism&lt;/i&gt; 4, no. 1 (2025): 4383–95, https://doi.org/10.62754/joe.v4i1.6322."},"properties":{"noteIndex":30},"schema":"https://github.com/citation-style-language/schema/raw/master/csl-citation.json"}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Imran et al., “Efforts to Strengthen Nationalist Character Education through Education and Community Empowerment Institutions in the Indonesia-Malaysia Borderlands,” </w:t>
      </w:r>
      <w:r w:rsidRPr="00C33189">
        <w:rPr>
          <w:rFonts w:ascii="Garamond" w:hAnsi="Garamond"/>
          <w:i/>
          <w:noProof/>
        </w:rPr>
        <w:t>Journal of Ecohumanism</w:t>
      </w:r>
      <w:r w:rsidRPr="00C33189">
        <w:rPr>
          <w:rFonts w:ascii="Garamond" w:hAnsi="Garamond"/>
          <w:noProof/>
        </w:rPr>
        <w:t xml:space="preserve"> 4, no. 1 (2025): 4383–95, https://doi.org/10.62754/joe.v4i1.6322.</w:t>
      </w:r>
      <w:r w:rsidRPr="00C33189">
        <w:rPr>
          <w:rFonts w:ascii="Garamond" w:hAnsi="Garamond"/>
        </w:rPr>
        <w:fldChar w:fldCharType="end"/>
      </w:r>
    </w:p>
  </w:footnote>
  <w:footnote w:id="31">
    <w:p w14:paraId="59C86937" w14:textId="1490E8BB" w:rsidR="00495D42" w:rsidRPr="00C33189" w:rsidRDefault="00495D4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257851" w:rsidRPr="00C33189">
        <w:rPr>
          <w:rFonts w:ascii="Garamond" w:hAnsi="Garamond"/>
        </w:rPr>
        <w:instrText>ADDIN CSL_CITATION {"citationItems":[{"id":"ITEM-1","itemData":{"author":[{"dropping-particle":"","family":"Doftori","given":"Mojibur Rahman","non-dropping-particle":"","parse-names":false,"suffix":""}],"id":"ITEM-1","issued":{"date-parts":[["2004"]]},"note":"Doctoral Dissertation. Public examination on November 12, 2004","number-of-pages":"39-40","publisher":"University of Helsinki, Faculty of Social Sciences, Department of Social Policy","publisher-place":"Helsinki","title":"Education and Child Labour in Developing Countries: A Study on the Role of Non-Governmental Organisations in Bangladesh and Nepal","type":"thesis"},"uris":["http://www.mendeley.com/documents/?uuid=68dec65f-e505-4c62-9922-0281b4b6913e"]}],"mendeley":{"formattedCitation":"Mojibur Rahman Doftori, “Education and Child Labour in Developing Countries: A Study on the Role of Non-Governmental Organisations in Bangladesh and Nepal” (University of Helsinki, Faculty of Social Sciences, Department of Social Policy, 2004), https://core.ac.uk/download/pdf/14918829.pdf.","manualFormatting":"Mojibur Rahman Doftori, “Education and Child Labour in Developing Countries: A Study on the Role of Non-Governmental Organisations in Bangladesh and Nepal” (University of Helsinki, Faculty of Social Sciences, Department of Social Policy, 2004), 39-40, https://core.ac.uk/download/pdf/14918829.pdf.","plainTextFormattedCitation":"Mojibur Rahman Doftori, “Education and Child Labour in Developing Countries: A Study on the Role of Non-Governmental Organisations in Bangladesh and Nepal” (University of Helsinki, Faculty of Social Sciences, Department of Social Policy, 2004), https://core.ac.uk/download/pdf/14918829.pdf.","previouslyFormattedCitation":"Mojibur Rahman Doftori, “Education and Child Labour in Developing Countries: A Study on the Role of Non-Governmental Organisations in Bangladesh and Nepal” (University of Helsinki, Faculty of Social Sciences, Department of Social Policy, 2004), https://core.ac.uk/download/pdf/14918829.pdf."},"properties":{"noteIndex":31},"schema":"https://github.com/citation-style-language/schema/raw/master/csl-citation.json"}</w:instrText>
      </w:r>
      <w:r w:rsidRPr="00C33189">
        <w:rPr>
          <w:rFonts w:ascii="Garamond" w:hAnsi="Garamond"/>
        </w:rPr>
        <w:fldChar w:fldCharType="separate"/>
      </w:r>
      <w:r w:rsidRPr="00C33189">
        <w:rPr>
          <w:rFonts w:ascii="Garamond" w:hAnsi="Garamond"/>
          <w:b/>
          <w:bCs/>
          <w:noProof/>
        </w:rPr>
        <w:t>Mojibur Rahman Doftori, “Education and Child Labour in Developing Countries: A Study on the Role of Non-Governmental Organisations in Bangladesh and Nepal” (University of Helsinki, Faculty of Social Sciences, Department of Social Policy, 2004), 39-40, https://core.ac.uk/download/pdf/14918829.pdf.</w:t>
      </w:r>
      <w:r w:rsidRPr="00C33189">
        <w:rPr>
          <w:rFonts w:ascii="Garamond" w:hAnsi="Garamond"/>
        </w:rPr>
        <w:fldChar w:fldCharType="end"/>
      </w:r>
    </w:p>
  </w:footnote>
  <w:footnote w:id="32">
    <w:p w14:paraId="26E0CE5C" w14:textId="21A705EE" w:rsidR="00495D42" w:rsidRPr="00C33189" w:rsidRDefault="00495D4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257851" w:rsidRPr="00C33189">
        <w:rPr>
          <w:rFonts w:ascii="Garamond" w:hAnsi="Garamond"/>
        </w:rPr>
        <w:instrText>ADDIN CSL_CITATION {"citationItems":[{"id":"ITEM-1","itemData":{"author":[{"dropping-particle":"","family":"Rahardjo","given":"Satjipto","non-dropping-particle":"","parse-names":false,"suffix":""}],"id":"ITEM-1","issued":{"date-parts":[["2009"]]},"publisher":"Genta Publishing","publisher-place":"Yogyakarta","title":"Hukum Progresif: Sebuah Sintesa Hukum Indonesia","type":"book"},"uris":["http://www.mendeley.com/documents/?uuid=1fa2f5fa-00fa-4c75-90bd-241234a959e8"]}],"mendeley":{"formattedCitation":"Rahardjo, &lt;i&gt;Hukum Progresif: Sebuah Sintesa Hukum Indonesia&lt;/i&gt;.","plainTextFormattedCitation":"Rahardjo, Hukum Progresif: Sebuah Sintesa Hukum Indonesia.","previouslyFormattedCitation":"Rahardjo, &lt;i&gt;Hukum Progresif: Sebuah Sintesa Hukum Indonesia&lt;/i&gt;."},"properties":{"noteIndex":32},"schema":"https://github.com/citation-style-language/schema/raw/master/csl-citation.json"}</w:instrText>
      </w:r>
      <w:r w:rsidRPr="00C33189">
        <w:rPr>
          <w:rFonts w:ascii="Garamond" w:hAnsi="Garamond"/>
        </w:rPr>
        <w:fldChar w:fldCharType="separate"/>
      </w:r>
      <w:r w:rsidR="008F0301" w:rsidRPr="00C33189">
        <w:rPr>
          <w:rFonts w:ascii="Garamond" w:hAnsi="Garamond"/>
          <w:noProof/>
        </w:rPr>
        <w:t xml:space="preserve">Rahardjo, </w:t>
      </w:r>
      <w:r w:rsidR="008F0301" w:rsidRPr="00C33189">
        <w:rPr>
          <w:rFonts w:ascii="Garamond" w:hAnsi="Garamond"/>
          <w:i/>
          <w:noProof/>
        </w:rPr>
        <w:t>Hukum Progresif: Sebuah Sintesa Hukum Indonesia</w:t>
      </w:r>
      <w:r w:rsidR="008F0301" w:rsidRPr="00C33189">
        <w:rPr>
          <w:rFonts w:ascii="Garamond" w:hAnsi="Garamond"/>
          <w:noProof/>
        </w:rPr>
        <w:t>.</w:t>
      </w:r>
      <w:r w:rsidRPr="00C33189">
        <w:rPr>
          <w:rFonts w:ascii="Garamond" w:hAnsi="Garamond"/>
        </w:rPr>
        <w:fldChar w:fldCharType="end"/>
      </w:r>
    </w:p>
  </w:footnote>
  <w:footnote w:id="33">
    <w:p w14:paraId="3D99464E" w14:textId="2093BF48" w:rsidR="00495D42" w:rsidRPr="00C33189" w:rsidRDefault="00495D4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257851" w:rsidRPr="00C33189">
        <w:rPr>
          <w:rFonts w:ascii="Garamond" w:hAnsi="Garamond"/>
        </w:rPr>
        <w:instrText>ADDIN CSL_CITATION {"citationItems":[{"id":"ITEM-1","itemData":{"author":[{"dropping-particle":"","family":"Wardhana","given":"Dimas","non-dropping-particle":"","parse-names":false,"suffix":""}],"container-title":"Jurnal Hukum Progresif","id":"ITEM-1","issue":"2","issued":{"date-parts":[["2023"]]},"page":"100-115","title":"Keadilan Progresif dalam Konteks Multikulturalisme Indonesia","type":"article-journal","volume":"12"},"uris":["http://www.mendeley.com/documents/?uuid=274781e0-5a3e-4bba-826d-dae48d00dfdb"]}],"mendeley":{"formattedCitation":"Dimas Wardhana, “Keadilan Progresif Dalam Konteks Multikulturalisme Indonesia,” &lt;i&gt;Jurnal Hukum Progresif&lt;/i&gt; 12, no. 2 (2023): 100–115.","plainTextFormattedCitation":"Dimas Wardhana, “Keadilan Progresif Dalam Konteks Multikulturalisme Indonesia,” Jurnal Hukum Progresif 12, no. 2 (2023): 100–115.","previouslyFormattedCitation":"Dimas Wardhana, “Keadilan Progresif Dalam Konteks Multikulturalisme Indonesia,” &lt;i&gt;Jurnal Hukum Progresif&lt;/i&gt; 12, no. 2 (2023): 100–115."},"properties":{"noteIndex":33},"schema":"https://github.com/citation-style-language/schema/raw/master/csl-citation.json"}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Dimas Wardhana, “Keadilan Progresif Dalam Konteks Multikulturalisme Indonesia,” </w:t>
      </w:r>
      <w:r w:rsidRPr="00C33189">
        <w:rPr>
          <w:rFonts w:ascii="Garamond" w:hAnsi="Garamond"/>
          <w:i/>
          <w:noProof/>
        </w:rPr>
        <w:t>Jurnal Hukum Progresif</w:t>
      </w:r>
      <w:r w:rsidRPr="00C33189">
        <w:rPr>
          <w:rFonts w:ascii="Garamond" w:hAnsi="Garamond"/>
          <w:noProof/>
        </w:rPr>
        <w:t xml:space="preserve"> 12, no. 2 (2023): 100–115.</w:t>
      </w:r>
      <w:r w:rsidRPr="00C33189">
        <w:rPr>
          <w:rFonts w:ascii="Garamond" w:hAnsi="Garamond"/>
        </w:rPr>
        <w:fldChar w:fldCharType="end"/>
      </w:r>
    </w:p>
  </w:footnote>
  <w:footnote w:id="34">
    <w:p w14:paraId="29B894D9" w14:textId="076EC533" w:rsidR="00257851" w:rsidRPr="00C33189" w:rsidRDefault="00257851"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3A7D20" w:rsidRPr="00C33189">
        <w:rPr>
          <w:rFonts w:ascii="Garamond" w:hAnsi="Garamond"/>
        </w:rPr>
        <w:instrText>ADDIN CSL_CITATION {"citationItems":[{"id":"ITEM-1","itemData":{"DOI":"10.61194/education.v4i1.893","author":[{"dropping-particle":"","family":"Afandi","given":"Muhammad Roestam","non-dropping-particle":"","parse-names":false,"suffix":""},{"dropping-particle":"","family":"Siswanto","given":"","non-dropping-particle":"","parse-names":false,"suffix":""},{"dropping-particle":"","family":"Adelakun","given":"Najeem Olawale","non-dropping-particle":"","parse-names":false,"suffix":""}],"container-title":"Sinergi International Journal of Education","id":"ITEM-1","issue":"1","issued":{"date-parts":[["2026"]]},"page":"1-6","title":"Systematic Literature Review: The Role of Education in Reducing Economic Inequality and Poverty","type":"article-journal","volume":"4"},"uris":["http://www.mendeley.com/documents/?uuid=dc89a001-e19b-447c-acd8-1ab0fab14540"]}],"mendeley":{"formattedCitation":"Muhammad Roestam Afandi, Siswanto, and Najeem Olawale Adelakun, “Systematic Literature Review: The Role of Education in Reducing Economic Inequality and Poverty,” &lt;i&gt;Sinergi International Journal of Education&lt;/i&gt; 4, no. 1 (2026): 1–6, https://doi.org/10.61194/education.v4i1.893.","plainTextFormattedCitation":"Muhammad Roestam Afandi, Siswanto, and Najeem Olawale Adelakun, “Systematic Literature Review: The Role of Education in Reducing Economic Inequality and Poverty,” Sinergi International Journal of Education 4, no. 1 (2026): 1–6, https://doi.org/10.61194/education.v4i1.893.","previouslyFormattedCitation":"Muhammad Roestam Afandi, Siswanto, and Najeem Olawale Adelakun, “Systematic Literature Review: The Role of Education in Reducing Economic Inequality and Poverty,” &lt;i&gt;Sinergi International Journal of Education&lt;/i&gt; 4, no. 1 (2026): 1–6, https://doi.org/10.61194/education.v4i1.893."},"properties":{"noteIndex":34},"schema":"https://github.com/citation-style-language/schema/raw/master/csl-citation.json"}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Muhammad Roestam Afandi, Siswanto, and Najeem Olawale Adelakun, “Systematic Literature Review: The Role of Education in Reducing Economic Inequality and Poverty,” </w:t>
      </w:r>
      <w:r w:rsidRPr="00C33189">
        <w:rPr>
          <w:rFonts w:ascii="Garamond" w:hAnsi="Garamond"/>
          <w:i/>
          <w:noProof/>
        </w:rPr>
        <w:t>Sinergi International Journal of Education</w:t>
      </w:r>
      <w:r w:rsidRPr="00C33189">
        <w:rPr>
          <w:rFonts w:ascii="Garamond" w:hAnsi="Garamond"/>
          <w:noProof/>
        </w:rPr>
        <w:t xml:space="preserve"> 4, no. 1 (2026): 1–6, https://doi.org/10.61194/education.v4i1.893.</w:t>
      </w:r>
      <w:r w:rsidRPr="00C33189">
        <w:rPr>
          <w:rFonts w:ascii="Garamond" w:hAnsi="Garamond"/>
        </w:rPr>
        <w:fldChar w:fldCharType="end"/>
      </w:r>
    </w:p>
  </w:footnote>
  <w:footnote w:id="35">
    <w:p w14:paraId="68468ACE" w14:textId="7D3F2E81" w:rsidR="003A7D20" w:rsidRPr="00C33189" w:rsidRDefault="003A7D20"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DOI":"10.70716/emis.v2i2.291","ISSN":"3031-7150","author":[{"dropping-particle":"","family":"Alya","given":"Rabiatul","non-dropping-particle":"","parse-names":false,"suffix":""},{"dropping-particle":"","family":"Tiara","given":"Veronika","non-dropping-particle":"","parse-names":false,"suffix":""},{"dropping-particle":"","family":"Liska","given":"Fransiska","non-dropping-particle":"","parse-names":false,"suffix":""},{"dropping-particle":"","family":"Hafizi","given":"M Zainul","non-dropping-particle":"","parse-names":false,"suffix":""}],"container-title":"Jurnal Ekonomi, Manajemen, dan Bisnis","id":"ITEM-1","issue":"2","issued":{"date-parts":[["2024"]]},"page":"51-55","publisher":"Lembaga Penelitian dan Pendidikan (LPP) Kalibra","title":"Poverty as a Structural Barrier to Educational Equity in Indonesia","type":"article-journal","volume":"2"},"uris":["http://www.mendeley.com/documents/?uuid=a53ef8d4-9cba-47f8-8f13-8413ad79b700"]}],"mendeley":{"formattedCitation":"Rabiatul Alya et al., “Poverty as a Structural Barrier to Educational Equity in Indonesia,” &lt;i&gt;Jurnal Ekonomi, Manajemen, Dan Bisnis&lt;/i&gt; 2, no. 2 (2024): 51–55, https://doi.org/10.70716/emis.v2i2.291.","plainTextFormattedCitation":"Rabiatul Alya et al., “Poverty as a Structural Barrier to Educational Equity in Indonesia,” Jurnal Ekonomi, Manajemen, Dan Bisnis 2, no. 2 (2024): 51–55, https://doi.org/10.70716/emis.v2i2.291.","previouslyFormattedCitation":"Rabiatul Alya et al., “Poverty as a Structural Barrier to Educational Equity in Indonesia,” &lt;i&gt;Jurnal Ekonomi, Manajemen, Dan Bisnis&lt;/i&gt; 2, no. 2 (2024): 51–55, https://doi.org/10.70716/emis.v2i2.291."},"properties":{"noteIndex":35},"schema":"https://github.com/citation-style-language/schema/raw/master/csl-citation.json"}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Rabiatul Alya et al., “Poverty as a Structural Barrier to Educational Equity in Indonesia,” </w:t>
      </w:r>
      <w:r w:rsidRPr="00C33189">
        <w:rPr>
          <w:rFonts w:ascii="Garamond" w:hAnsi="Garamond"/>
          <w:i/>
          <w:noProof/>
        </w:rPr>
        <w:t>Jurnal Ekonomi, Manajemen, Dan Bisnis</w:t>
      </w:r>
      <w:r w:rsidRPr="00C33189">
        <w:rPr>
          <w:rFonts w:ascii="Garamond" w:hAnsi="Garamond"/>
          <w:noProof/>
        </w:rPr>
        <w:t xml:space="preserve"> 2, no. 2 (2024): 51–55, https://doi.org/10.70716/emis.v2i2.291.</w:t>
      </w:r>
      <w:r w:rsidRPr="00C33189">
        <w:rPr>
          <w:rFonts w:ascii="Garamond" w:hAnsi="Garamond"/>
        </w:rPr>
        <w:fldChar w:fldCharType="end"/>
      </w:r>
    </w:p>
  </w:footnote>
  <w:footnote w:id="36">
    <w:p w14:paraId="16910130" w14:textId="4E552AC3" w:rsidR="00171FCA" w:rsidRPr="00C33189" w:rsidRDefault="00171FCA"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{"citationItems":[{"id":"ITEM-1","itemData":{"DOI":"10.59525/rechtsvinding.v2i2.413","author":[{"dropping-particle":"","family":"Khofi","given":"Mohammad Bilutfikal","non-dropping-particle":"","parse-names":false,"suffix":""}],"container-title":"Rechtsvinding","id":"ITEM-1","issue":"2","issued":{"date-parts":[["2024"]]},"page":"59-66","title":"Review of Non-Discrimination Law in Education in Indonesia: Analysis Based on the Convention on the Rights of the Child","type":"article-journal","volume":"2"},"uris":["http://www.mendeley.com/documents/?uuid=7460c821-c275-482b-9fb4-1afe9bb61c04"]}],"mendeley":{"formattedCitation":"Mohammad Bilutfikal Khofi, “Review of Non-Discrimination Law in Education in Indonesia: Analysis Based on the Convention on the Rights of the Child,” &lt;i&gt;Rechtsvinding&lt;/i&gt; 2, no. 2 (2024): 59–66, https://doi.org/10.59525/rechtsvinding.v2i2.413.","plainTextFormattedCitation":"Mohammad Bilutfikal Khofi, “Review of Non-Discrimination Law in Education in Indonesia: Analysis Based on the Convention on the Rights of the Child,” Rechtsvinding 2, no. 2 (2024): 59–66, https://doi.org/10.59525/rechtsvinding.v2i2.413.","previouslyFormattedCitation":"Mohammad Bilutfikal Khofi, “Review of Non-Discrimination Law in Education in Indonesia: Analysis Based on the Convention on the Rights of the Child,” &lt;i&gt;Rechtsvinding&lt;/i&gt; 2, no. 2 (2024): 59–66, https://doi.org/10.59525/rechtsvinding.v2i2.413."},"properties":{"noteIndex":36},"schema":"https://github.com/citation-style-language/schema/raw/master/csl-citation.json"}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Mohammad Bilutfikal Khofi, “Review of Non-Discrimination Law in Education in Indonesia: Analysis Based on the Convention on the Rights of the Child,” </w:t>
      </w:r>
      <w:r w:rsidRPr="00C33189">
        <w:rPr>
          <w:rFonts w:ascii="Garamond" w:hAnsi="Garamond"/>
          <w:i/>
          <w:noProof/>
        </w:rPr>
        <w:t>Rechtsvinding</w:t>
      </w:r>
      <w:r w:rsidRPr="00C33189">
        <w:rPr>
          <w:rFonts w:ascii="Garamond" w:hAnsi="Garamond"/>
          <w:noProof/>
        </w:rPr>
        <w:t xml:space="preserve"> 2, no. 2 (2024): 59–66, https://doi.org/10.59525/rechtsvinding.v2i2.413.</w:t>
      </w:r>
      <w:r w:rsidRPr="00C33189">
        <w:rPr>
          <w:rFonts w:ascii="Garamond" w:hAnsi="Garamond"/>
        </w:rPr>
        <w:fldChar w:fldCharType="end"/>
      </w:r>
    </w:p>
  </w:footnote>
  <w:footnote w:id="37">
    <w:p w14:paraId="76C67D87" w14:textId="61A034EB" w:rsidR="003A7D20" w:rsidRPr="00C33189" w:rsidRDefault="003A7D20"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171FCA" w:rsidRPr="00C33189">
        <w:rPr>
          <w:rFonts w:ascii="Garamond" w:hAnsi="Garamond"/>
        </w:rPr>
        <w:instrText>ADDIN CSL_CITATION {"citationItems":[{"id":"ITEM-1","itemData":{"DOI":"10.6000/1929-4409.2021.10.116","ISSN":"1929-4409","author":[{"dropping-particle":"","family":"Itasari","given":"Endah Rantau","non-dropping-particle":"","parse-names":false,"suffix":""},{"dropping-particle":"","family":"Mangku","given":"Dewa Gede Sudika","non-dropping-particle":"","parse-names":false,"suffix":""},{"dropping-particle":"","family":"Yuliartini","given":"Ni Putu Rai","non-dropping-particle":"","parse-names":false,"suffix":""},{"dropping-particle":"","family":"Purwendah","given":"Elly Kristiani","non-dropping-particle":"","parse-names":false,"suffix":""},{"dropping-particle":"","family":"Yustitianingtyas","given":"Levina","non-dropping-particle":"","parse-names":false,"suffix":""},{"dropping-particle":"","family":"Harjiyatni","given":"Francisca Romana","non-dropping-particle":"","parse-names":false,"suffix":""},{"dropping-particle":"","family":"Wirawan","given":"I Gusti Made Arya Suta","non-dropping-particle":"","parse-names":false,"suffix":""}],"container-title":"International Journal of Criminology and Sociology","id":"ITEM-1","issued":{"date-parts":[["2021"]]},"page":"984-991","publisher":"Lifescience Global","title":"Indonesia’s Role in Fulfilling the Right to Education Elementary and Intermediate in Border Areas","type":"article-journal","volume":"10"},"uris":["http://www.mendeley.com/documents/?uuid=bce85ffd-0fbc-44d1-a8b9-572ac02ecd2a"]}],"mendeley":{"formattedCitation":"Itasari et al., “Indonesia’s Role in Fulfilling the Right to Education Elementary and Intermediate in Border Areas.”","plainTextFormattedCitation":"Itasari et al., “Indonesia’s Role in Fulfilling the Right to Education Elementary and Intermediate in Border Areas.”","previouslyFormattedCitation":"Itasari et al., “Indonesia’s Role in Fulfilling the Right to Education Elementary and Intermediate in Border Areas.”"},"properties":{"noteIndex":37},"schema":"https://github.com/citation-style-language/schema/raw/master/csl-citation.json"}</w:instrText>
      </w:r>
      <w:r w:rsidRPr="00C33189">
        <w:rPr>
          <w:rFonts w:ascii="Garamond" w:hAnsi="Garamond"/>
        </w:rPr>
        <w:fldChar w:fldCharType="separate"/>
      </w:r>
      <w:r w:rsidRPr="00C33189">
        <w:rPr>
          <w:rFonts w:ascii="Garamond" w:hAnsi="Garamond"/>
          <w:noProof/>
        </w:rPr>
        <w:t>Itasari et al., “Indonesia’s Role in Fulfilling the Right to Education Elementary and Intermediate in Border Areas.”</w:t>
      </w:r>
      <w:r w:rsidRPr="00C33189">
        <w:rPr>
          <w:rFonts w:ascii="Garamond" w:hAnsi="Garamond"/>
        </w:rPr>
        <w:fldChar w:fldCharType="end"/>
      </w:r>
    </w:p>
  </w:footnote>
  <w:footnote w:id="38">
    <w:p w14:paraId="70E2DAF6" w14:textId="4DBF8C43" w:rsidR="00171FCA" w:rsidRPr="00C33189" w:rsidRDefault="00171FCA"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{"citationItems":[{"id":"ITEM-1","itemData":{"DOI":"10.1017/9781108878739.004","author":[{"dropping-particle":"","family":"Ahmad","given":"Zaker","non-dropping-particle":"","parse-names":false,"suffix":""}],"container-title":"The Prospects of Common Concern of Humankind in International Law","editor":[{"dropping-particle":"","family":"Cottier","given":"Thomas","non-dropping-particle":"","parse-names":false,"suffix":""}],"id":"ITEM-1","issued":{"date-parts":[["2021"]]},"page":"93-428","publisher":"Cambridge University Press","publisher-place":"Cambridge","title":"Case Studies","type":"chapter"},"uris":["http://www.mendeley.com/documents/?uuid=69bd2be3-514e-4658-901b-5ea2d5219a15"]}],"mendeley":{"formattedCitation":"Zaker Ahmad, “Case Studies,” in &lt;i&gt;The Prospects of Common Concern of Humankind in International Law&lt;/i&gt;, ed. Thomas Cottier (Cambridge: Cambridge University Press, 2021), 93–428, https://doi.org/10.1017/9781108878739.004.","plainTextFormattedCitation":"Zaker Ahmad, “Case Studies,” in The Prospects of Common Concern of Humankind in International Law, ed. Thomas Cottier (Cambridge: Cambridge University Press, 2021), 93–428, https://doi.org/10.1017/9781108878739.004.","previouslyFormattedCitation":"Zaker Ahmad, “Case Studies,” in &lt;i&gt;The Prospects of Common Concern of Humankind in International Law&lt;/i&gt;, ed. Thomas Cottier (Cambridge: Cambridge University Press, 2021), 93–428, https://doi.org/10.1017/9781108878739.004."},"properties":{"noteIndex":38},"schema":"https://github.com/citation-style-language/schema/raw/master/csl-citation.json"}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Zaker Ahmad, “Case Studies,” in </w:t>
      </w:r>
      <w:r w:rsidRPr="00C33189">
        <w:rPr>
          <w:rFonts w:ascii="Garamond" w:hAnsi="Garamond"/>
          <w:i/>
          <w:noProof/>
        </w:rPr>
        <w:t>The Prospects of Common Concern of Humankind in International Law</w:t>
      </w:r>
      <w:r w:rsidRPr="00C33189">
        <w:rPr>
          <w:rFonts w:ascii="Garamond" w:hAnsi="Garamond"/>
          <w:noProof/>
        </w:rPr>
        <w:t>, ed. Thomas Cottier (Cambridge: Cambridge University Press, 2021), 93–428, https://doi.org/10.1017/9781108878739.004.</w:t>
      </w:r>
      <w:r w:rsidRPr="00C33189">
        <w:rPr>
          <w:rFonts w:ascii="Garamond" w:hAnsi="Garamond"/>
        </w:rPr>
        <w:fldChar w:fldCharType="end"/>
      </w:r>
    </w:p>
  </w:footnote>
  <w:footnote w:id="39">
    <w:p w14:paraId="2D1641B5" w14:textId="62425116" w:rsidR="00171FCA" w:rsidRPr="00C33189" w:rsidRDefault="00171FCA"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310A32" w:rsidRPr="00C33189">
        <w:rPr>
          <w:rFonts w:ascii="Garamond" w:hAnsi="Garamond"/>
        </w:rPr>
        <w:instrText>ADDIN CSL_CITATION {"citationItems":[{"id":"ITEM-1","itemData":{"DOI":"10.25139/cds.v1i1.1622","author":[{"dropping-particle":"","family":"Rupita","given":"Rupita","non-dropping-particle":"","parse-names":false,"suffix":""}],"container-title":"Journal Community Development and Society","id":"ITEM-1","issued":{"date-parts":[["2019"]]},"title":"Analysis of the situation of education in Indonesia-Malaysia border region (Studies in Puring Kencana, Kapuas Hulu Regency, West Kalimantan)","type":"article-journal","volume":"1"},"uris":["http://www.mendeley.com/documents/?uuid=a4f4b09d-7b0f-4f50-80fc-fbad8b2b5465"]}],"mendeley":{"formattedCitation":"Rupita Rupita, “Analysis of the Situation of Education in Indonesia-Malaysia Border Region (Studies in Puring Kencana, Kapuas Hulu Regency, West Kalimantan),” &lt;i&gt;Journal Community Development and Society&lt;/i&gt; 1 (2019), https://doi.org/10.25139/cds.v1i1.1622.","plainTextFormattedCitation":"Rupita Rupita, “Analysis of the Situation of Education in Indonesia-Malaysia Border Region (Studies in Puring Kencana, Kapuas Hulu Regency, West Kalimantan),” Journal Community Development and Society 1 (2019), https://doi.org/10.25139/cds.v1i1.1622.","previouslyFormattedCitation":"Rupita Rupita, “Analysis of the Situation of Education in Indonesia-Malaysia Border Region (Studies in Puring Kencana, Kapuas Hulu Regency, West Kalimantan),” &lt;i&gt;Journal Community Development and Society&lt;/i&gt; 1 (2019), https://doi.org/10.25139/cds.v1i1.1622."},"properties":{"noteIndex":39},"schema":"https://github.com/citation-style-language/schema/raw/master/csl-citation.json"}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Rupita Rupita, “Analysis of the Situation of Education in Indonesia-Malaysia Border Region (Studies in Puring Kencana, Kapuas Hulu Regency, West Kalimantan),” </w:t>
      </w:r>
      <w:r w:rsidRPr="00C33189">
        <w:rPr>
          <w:rFonts w:ascii="Garamond" w:hAnsi="Garamond"/>
          <w:i/>
          <w:noProof/>
        </w:rPr>
        <w:t>Journal Community Development and Society</w:t>
      </w:r>
      <w:r w:rsidRPr="00C33189">
        <w:rPr>
          <w:rFonts w:ascii="Garamond" w:hAnsi="Garamond"/>
          <w:noProof/>
        </w:rPr>
        <w:t xml:space="preserve"> 1 (2019), https://doi.org/10.25139/cds.v1i1.1622.</w:t>
      </w:r>
      <w:r w:rsidRPr="00C33189">
        <w:rPr>
          <w:rFonts w:ascii="Garamond" w:hAnsi="Garamond"/>
        </w:rPr>
        <w:fldChar w:fldCharType="end"/>
      </w:r>
    </w:p>
  </w:footnote>
  <w:footnote w:id="40">
    <w:p w14:paraId="3B0CC04C" w14:textId="71C3BD3A" w:rsidR="00310A32" w:rsidRPr="00C33189" w:rsidRDefault="00310A3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{"citationItems":[{"id":"ITEM-1","itemData":{"DOI":"10.26623/jic.v10i3.13243","author":[{"dropping-particle":"","family":"Siregar","given":"Fritz Edward","non-dropping-particle":"","parse-names":false,"suffix":""}],"container-title":"Jurnal Ius Constituendum","id":"ITEM-1","issue":"1","issued":{"date-parts":[["2026"]]},"page":"218-236","title":"Sekolah Rakyat and the Fulfillment of the Right to Education: From a Constitutional Law Perspective","type":"article-journal","volume":"11"},"uris":["http://www.mendeley.com/documents/?uuid=e69fcf00-cc32-430f-8115-ef1ee4cb9840"]}],"mendeley":{"formattedCitation":"Fritz Edward Siregar, “Sekolah Rakyat and the Fulfillment of the Right to Education: From a Constitutional Law Perspective,” &lt;i&gt;Jurnal Ius Constituendum&lt;/i&gt; 11, no. 1 (2026): 218–36, https://doi.org/10.26623/jic.v10i3.13243.","plainTextFormattedCitation":"Fritz Edward Siregar, “Sekolah Rakyat and the Fulfillment of the Right to Education: From a Constitutional Law Perspective,” Jurnal Ius Constituendum 11, no. 1 (2026): 218–36, https://doi.org/10.26623/jic.v10i3.13243.","previouslyFormattedCitation":"Fritz Edward Siregar, “Sekolah Rakyat and the Fulfillment of the Right to Education: From a Constitutional Law Perspective,” &lt;i&gt;Jurnal Ius Constituendum&lt;/i&gt; 11, no. 1 (2026): 218–36, https://doi.org/10.26623/jic.v10i3.13243."},"properties":{"noteIndex":40},"schema":"https://github.com/citation-style-language/schema/raw/master/csl-citation.json"}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Fritz Edward Siregar, “Sekolah Rakyat and the Fulfillment of the Right to Education: From a Constitutional Law Perspective,” </w:t>
      </w:r>
      <w:r w:rsidRPr="00C33189">
        <w:rPr>
          <w:rFonts w:ascii="Garamond" w:hAnsi="Garamond"/>
          <w:i/>
          <w:noProof/>
        </w:rPr>
        <w:t>Jurnal Ius Constituendum</w:t>
      </w:r>
      <w:r w:rsidRPr="00C33189">
        <w:rPr>
          <w:rFonts w:ascii="Garamond" w:hAnsi="Garamond"/>
          <w:noProof/>
        </w:rPr>
        <w:t xml:space="preserve"> 11, no. 1 (2026): 218–36, https://doi.org/10.26623/jic.v10i3.13243.</w:t>
      </w:r>
      <w:r w:rsidRPr="00C33189">
        <w:rPr>
          <w:rFonts w:ascii="Garamond" w:hAnsi="Garamond"/>
        </w:rPr>
        <w:fldChar w:fldCharType="end"/>
      </w:r>
    </w:p>
  </w:footnote>
  <w:footnote w:id="41">
    <w:p w14:paraId="74EAEEB7" w14:textId="01654313" w:rsidR="00310A32" w:rsidRPr="00C33189" w:rsidRDefault="00310A3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DOI":"10.36722/jaiss.v6i3.4775","ISSN":"2745-5920","author":[{"dropping-particle":"","family":"Fajrianto","given":"","non-dropping-particle":"","parse-names":false,"suffix":""},{"dropping-particle":"","family":"Rizqi","given":"Muhammad","non-dropping-particle":"","parse-names":false,"suffix":""},{"dropping-particle":"","family":"Aryanda","given":"Dhien Favian","non-dropping-particle":"","parse-names":false,"suffix":""},{"dropping-particle":"","family":"Difari","given":"Ahmad Dzaky","non-dropping-particle":"","parse-names":false,"suffix":""}],"container-title":"Jurnal Al Azhar Indonesia Seri Ilmu Sosial","id":"ITEM-1","issue":"3","issued":{"date-parts":[["2025","10"]]},"page":"134-143","title":"Reconstruction of Constitutional Responsibility in Financing Primary Education in Indonesia","type":"article-journal","volume":"6"},"uris":["http://www.mendeley.com/documents/?uuid=2ccc8277-16ff-4395-8cbd-bb3f9aa2b423"]}],"mendeley":{"formattedCitation":"Fajrianto et al., “Reconstruction of Constitutional Responsibility in Financing Primary Education in Indonesia,” &lt;i&gt;Jurnal Al Azhar Indonesia Seri Ilmu Sosial&lt;/i&gt; 6, no. 3 (October 2025): 134–43, https://doi.org/10.36722/jaiss.v6i3.4775.","plainTextFormattedCitation":"Fajrianto et al., “Reconstruction of Constitutional Responsibility in Financing Primary Education in Indonesia,” Jurnal Al Azhar Indonesia Seri Ilmu Sosial 6, no. 3 (October 2025): 134–43, https://doi.org/10.36722/jaiss.v6i3.4775.","previouslyFormattedCitation":"Fajrianto et al., “Reconstruction of Constitutional Responsibility in Financing Primary Education in Indonesia,” &lt;i&gt;Jurnal Al Azhar Indonesia Seri Ilmu Sosial&lt;/i&gt; 6, no. 3 (October 2025): 134–43, https://doi.org/10.36722/jaiss.v6i3.4775."},"properties":{"noteIndex":41},"schema":"https://github.com/citation-style-language/schema/raw/master/csl-citation.json"}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Fajrianto et al., “Reconstruction of Constitutional Responsibility in Financing Primary Education in Indonesia,” </w:t>
      </w:r>
      <w:r w:rsidRPr="00C33189">
        <w:rPr>
          <w:rFonts w:ascii="Garamond" w:hAnsi="Garamond"/>
          <w:i/>
          <w:noProof/>
        </w:rPr>
        <w:t>Jurnal Al Azhar Indonesia Seri Ilmu Sosial</w:t>
      </w:r>
      <w:r w:rsidRPr="00C33189">
        <w:rPr>
          <w:rFonts w:ascii="Garamond" w:hAnsi="Garamond"/>
          <w:noProof/>
        </w:rPr>
        <w:t xml:space="preserve"> 6, no. 3 (October 2025): 134–43, https://doi.org/10.36722/jaiss.v6i3.4775.</w:t>
      </w:r>
      <w:r w:rsidRPr="00C33189">
        <w:rPr>
          <w:rFonts w:ascii="Garamond" w:hAnsi="Garamond"/>
        </w:rPr>
        <w:fldChar w:fldCharType="end"/>
      </w:r>
    </w:p>
  </w:footnote>
  <w:footnote w:id="42">
    <w:p w14:paraId="531EE029" w14:textId="1D077AB2" w:rsidR="00310A32" w:rsidRPr="00C33189" w:rsidRDefault="00310A3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DOI":"10.58812/eslhr.v4i01.782","ISSN":"2985-7112","author":[{"dropping-particle":"","family":"Firmanto","given":"Fakhry","non-dropping-particle":"","parse-names":false,"suffix":""},{"dropping-particle":"","family":"Sutrisno","given":"Hafiz","non-dropping-particle":"","parse-names":false,"suffix":""},{"dropping-particle":"","family":"Lubis","given":"Arief Fahmi","non-dropping-particle":"","parse-names":false,"suffix":""}],"container-title":"The Easta Journal Law and Human Rights","id":"ITEM-1","issue":"1","issued":{"date-parts":[["2025"]]},"page":"33-42","title":"Constitutional Review on the State's Obligation to Provide Equal Access to Education in Indonesia","type":"article-journal","volume":"4"},"uris":["http://www.mendeley.com/documents/?uuid=89639c26-5690-4762-b2b4-5b7f9a8c5b74"]}],"mendeley":{"formattedCitation":"Fakhry Firmanto, Hafiz Sutrisno, and Arief Fahmi Lubis, “Constitutional Review on the State’s Obligation to Provide Equal Access to Education in Indonesia,” &lt;i&gt;The Easta Journal Law and Human Rights&lt;/i&gt; 4, no. 1 (2025): 33–42, https://doi.org/10.58812/eslhr.v4i01.782.","plainTextFormattedCitation":"Fakhry Firmanto, Hafiz Sutrisno, and Arief Fahmi Lubis, “Constitutional Review on the State’s Obligation to Provide Equal Access to Education in Indonesia,” The Easta Journal Law and Human Rights 4, no. 1 (2025): 33–42, https://doi.org/10.58812/eslhr.v4i01.782.","previouslyFormattedCitation":"Fakhry Firmanto, Hafiz Sutrisno, and Arief Fahmi Lubis, “Constitutional Review on the State’s Obligation to Provide Equal Access to Education in Indonesia,” &lt;i&gt;The Easta Journal Law and Human Rights&lt;/i&gt; 4, no. 1 (2025): 33–42, https://doi.org/10.58812/eslhr.v4i01.782."},"properties":{"noteIndex":42},"schema":"https://github.com/citation-style-language/schema/raw/master/csl-citation.json"}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Fakhry Firmanto, Hafiz Sutrisno, and Arief Fahmi Lubis, “Constitutional Review on the State’s Obligation to Provide Equal Access to Education in Indonesia,” </w:t>
      </w:r>
      <w:r w:rsidRPr="00C33189">
        <w:rPr>
          <w:rFonts w:ascii="Garamond" w:hAnsi="Garamond"/>
          <w:i/>
          <w:noProof/>
        </w:rPr>
        <w:t>The Easta Journal Law and Human Rights</w:t>
      </w:r>
      <w:r w:rsidRPr="00C33189">
        <w:rPr>
          <w:rFonts w:ascii="Garamond" w:hAnsi="Garamond"/>
          <w:noProof/>
        </w:rPr>
        <w:t xml:space="preserve"> 4, no. 1 (2025): 33–42, https://doi.org/10.58812/eslhr.v4i01.782.</w:t>
      </w:r>
      <w:r w:rsidRPr="00C33189">
        <w:rPr>
          <w:rFonts w:ascii="Garamond" w:hAnsi="Garamond"/>
        </w:rPr>
        <w:fldChar w:fldCharType="end"/>
      </w:r>
    </w:p>
  </w:footnote>
  <w:footnote w:id="43">
    <w:p w14:paraId="66FD165D" w14:textId="23AFD307" w:rsidR="00310A32" w:rsidRPr="00C33189" w:rsidRDefault="00310A3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5159B0" w:rsidRPr="00C33189">
        <w:rPr>
          <w:rFonts w:ascii="Garamond" w:hAnsi="Garamond"/>
        </w:rPr>
        <w:instrText>ADDIN CSL_CITATION {"citationItems":[{"id":"ITEM-1","itemData":{"DOI":"10.60153/ijesss.v1i2.193","ISSN":"3090-675X","author":[{"dropping-particle":"","family":"Sujana","given":"I Gede","non-dropping-particle":"","parse-names":false,"suffix":""},{"dropping-particle":"","family":"Konda","given":"Ande Ana","non-dropping-particle":"","parse-names":false,"suffix":""},{"dropping-particle":"","family":"Dapa","given":"Febliana","non-dropping-particle":"","parse-names":false,"suffix":""},{"dropping-particle":"","family":"Niga","given":"Eldiyanto Tadu","non-dropping-particle":"","parse-names":false,"suffix":""}],"container-title":"International Journal of Education and Social Science Studies","id":"ITEM-1","issue":"2","issued":{"date-parts":[["2025"]]},"page":"61-68","publisher":"CV. Tirta Pustaka Press","title":"Free Basic Education Between Constitutional Norm and Implementation Realities","type":"article-journal","volume":"1"},"uris":["http://www.mendeley.com/documents/?uuid=4c0daa32-76b9-4a93-949f-bb34424ee59b"]}],"mendeley":{"formattedCitation":"I Gede Sujana et al., “Free Basic Education Between Constitutional Norm and Implementation Realities,” &lt;i&gt;International Journal of Education and Social Science Studies&lt;/i&gt; 1, no. 2 (2025): 61–68, https://doi.org/10.60153/ijesss.v1i2.193.","plainTextFormattedCitation":"I Gede Sujana et al., “Free Basic Education Between Constitutional Norm and Implementation Realities,” International Journal of Education and Social Science Studies 1, no. 2 (2025): 61–68, https://doi.org/10.60153/ijesss.v1i2.193.","previouslyFormattedCitation":"I Gede Sujana et al., “Free Basic Education Between Constitutional Norm and Implementation Realities,” &lt;i&gt;International Journal of Education and Social Science Studies&lt;/i&gt; 1, no. 2 (2025): 61–68, https://doi.org/10.60153/ijesss.v1i2.193."},"properties":{"noteIndex":43},"schema":"https://github.com/citation-style-language/schema/raw/master/csl-citation.json"}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I Gede Sujana et al., “Free Basic Education Between Constitutional Norm and Implementation Realities,” </w:t>
      </w:r>
      <w:r w:rsidRPr="00C33189">
        <w:rPr>
          <w:rFonts w:ascii="Garamond" w:hAnsi="Garamond"/>
          <w:i/>
          <w:noProof/>
        </w:rPr>
        <w:t>International Journal of Education and Social Science Studies</w:t>
      </w:r>
      <w:r w:rsidRPr="00C33189">
        <w:rPr>
          <w:rFonts w:ascii="Garamond" w:hAnsi="Garamond"/>
          <w:noProof/>
        </w:rPr>
        <w:t xml:space="preserve"> 1, no. 2 (2025): 61–68, https://doi.org/10.60153/ijesss.v1i2.193.</w:t>
      </w:r>
      <w:r w:rsidRPr="00C33189">
        <w:rPr>
          <w:rFonts w:ascii="Garamond" w:hAnsi="Garamond"/>
        </w:rPr>
        <w:fldChar w:fldCharType="end"/>
      </w:r>
    </w:p>
  </w:footnote>
  <w:footnote w:id="44">
    <w:p w14:paraId="2F8D5E79" w14:textId="56024E5E" w:rsidR="005159B0" w:rsidRPr="00C33189" w:rsidRDefault="005159B0"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author":[{"dropping-particle":"","family":"Ramadhan","given":"Fadjri","non-dropping-particle":"","parse-names":false,"suffix":""},{"dropping-particle":"","family":"Hidayat","given":"Muhammad","non-dropping-particle":"","parse-names":false,"suffix":""},{"dropping-particle":"","family":"Murialti","given":"Neng","non-dropping-particle":"","parse-names":false,"suffix":""}],"container-title":"COMSERVA: Jurnal Penelitian dan Pengabdian Masyarakat","id":"ITEM-1","issue":"11","issued":{"date-parts":[["2024"]]},"page":"4497-4507","title":"Analysis of Development Inequality Between Regions in Java and Bali: Economic Spatial Approach","type":"article-journal","volume":"3"},"uris":["http://www.mendeley.com/documents/?uuid=29675ca8-e2de-47bc-bc88-abd38d0354b9"]}],"mendeley":{"formattedCitation":"Fadjri Ramadhan, Muhammad Hidayat, and Neng Murialti, “Analysis of Development Inequality Between Regions in Java and Bali: Economic Spatial Approach,” &lt;i&gt;COMSERVA: Jurnal Penelitian Dan Pengabdian Masyarakat&lt;/i&gt; 3, no. 11 (2024): 4497–4507, https://comserva.publikasiindonesia.id/index.php/comserva/article/view/1240.","plainTextFormattedCitation":"Fadjri Ramadhan, Muhammad Hidayat, and Neng Murialti, “Analysis of Development Inequality Between Regions in Java and Bali: Economic Spatial Approach,” COMSERVA: Jurnal Penelitian Dan Pengabdian Masyarakat 3, no. 11 (2024): 4497–4507, https://comserva.publikasiindonesia.id/index.php/comserva/article/view/1240.","previouslyFormattedCitation":"Fadjri Ramadhan, Muhammad Hidayat, and Neng Murialti, “Analysis of Development Inequality Between Regions in Java and Bali: Economic Spatial Approach,” &lt;i&gt;COMSERVA: Jurnal Penelitian Dan Pengabdian Masyarakat&lt;/i&gt; 3, no. 11 (2024): 4497–4507, https://comserva.publikasiindonesia.id/index.php/comserva/article/view/1240."},"properties":{"noteIndex":44},"schema":"https://github.com/citation-style-language/schema/raw/master/csl-citation.json"}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Fadjri Ramadhan, Muhammad Hidayat, and Neng Murialti, “Analysis of Development Inequality Between Regions in Java and Bali: Economic Spatial Approach,” </w:t>
      </w:r>
      <w:r w:rsidRPr="00C33189">
        <w:rPr>
          <w:rFonts w:ascii="Garamond" w:hAnsi="Garamond"/>
          <w:i/>
          <w:noProof/>
        </w:rPr>
        <w:t>COMSERVA: Jurnal Penelitian Dan Pengabdian Masyarakat</w:t>
      </w:r>
      <w:r w:rsidRPr="00C33189">
        <w:rPr>
          <w:rFonts w:ascii="Garamond" w:hAnsi="Garamond"/>
          <w:noProof/>
        </w:rPr>
        <w:t xml:space="preserve"> 3, no. 11 (2024): 4497–4507, https://comserva.publikasiindonesia.id/index.php/comserva/article/view/1240.</w:t>
      </w:r>
      <w:r w:rsidRPr="00C33189">
        <w:rPr>
          <w:rFonts w:ascii="Garamond" w:hAnsi="Garamond"/>
        </w:rPr>
        <w:fldChar w:fldCharType="end"/>
      </w:r>
    </w:p>
  </w:footnote>
  <w:footnote w:id="45">
    <w:p w14:paraId="149A8AAF" w14:textId="79DC1816" w:rsidR="005159B0" w:rsidRPr="00C33189" w:rsidRDefault="005159B0"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DOI":"10.22437/home.v8i1.401","author":[{"dropping-particle":"","family":"Budhiartie","given":"Arrie","non-dropping-particle":"","parse-names":false,"suffix":""},{"dropping-particle":"","family":"Pradhan","given":"David","non-dropping-particle":"","parse-names":false,"suffix":""},{"dropping-particle":"","family":"Hasnda","given":"Nuchraha Alhuda","non-dropping-particle":"","parse-names":false,"suffix":""},{"dropping-particle":"","family":"Iswandi","given":"","non-dropping-particle":"","parse-names":false,"suffix":""}],"container-title":"Jambe Law Journal","id":"ITEM-1","issue":"1","issued":{"date-parts":[["2025"]]},"page":"197-228","title":"Digitized Education Delivery in Indonesia: Constitutional Right or Vacuous Sophistry?","type":"article-journal","volume":"8"},"uris":["http://www.mendeley.com/documents/?uuid=506fd1d0-7c06-499a-9f54-1439125496e0"]}],"mendeley":{"formattedCitation":"Arrie Budhiartie et al., “Digitized Education Delivery in Indonesia: Constitutional Right or Vacuous Sophistry?,” &lt;i&gt;Jambe Law Journal&lt;/i&gt; 8, no. 1 (2025): 197–228, https://doi.org/10.22437/home.v8i1.401.","plainTextFormattedCitation":"Arrie Budhiartie et al., “Digitized Education Delivery in Indonesia: Constitutional Right or Vacuous Sophistry?,” Jambe Law Journal 8, no. 1 (2025): 197–228, https://doi.org/10.22437/home.v8i1.401.","previouslyFormattedCitation":"Arrie Budhiartie et al., “Digitized Education Delivery in Indonesia: Constitutional Right or Vacuous Sophistry?,” &lt;i&gt;Jambe Law Journal&lt;/i&gt; 8, no. 1 (2025): 197–228, https://doi.org/10.22437/home.v8i1.401."},"properties":{"noteIndex":45},"schema":"https://github.com/citation-style-language/schema/raw/master/csl-citation.json"}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Arrie Budhiartie et al., “Digitized Education Delivery in Indonesia: Constitutional Right or Vacuous Sophistry?,” </w:t>
      </w:r>
      <w:r w:rsidRPr="00C33189">
        <w:rPr>
          <w:rFonts w:ascii="Garamond" w:hAnsi="Garamond"/>
          <w:i/>
          <w:noProof/>
        </w:rPr>
        <w:t>Jambe Law Journal</w:t>
      </w:r>
      <w:r w:rsidRPr="00C33189">
        <w:rPr>
          <w:rFonts w:ascii="Garamond" w:hAnsi="Garamond"/>
          <w:noProof/>
        </w:rPr>
        <w:t xml:space="preserve"> 8, no. 1 (2025): 197–228, https://doi.org/10.22437/home.v8i1.401.</w:t>
      </w:r>
      <w:r w:rsidRPr="00C33189">
        <w:rPr>
          <w:rFonts w:ascii="Garamond" w:hAnsi="Garamond"/>
        </w:rPr>
        <w:fldChar w:fldCharType="end"/>
      </w:r>
    </w:p>
  </w:footnote>
  <w:footnote w:id="46">
    <w:p w14:paraId="077AEB00" w14:textId="17DAF2FC" w:rsidR="005159B0" w:rsidRPr="00C33189" w:rsidRDefault="005159B0"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503DA2" w:rsidRPr="00C33189">
        <w:rPr>
          <w:rFonts w:ascii="Garamond" w:hAnsi="Garamond"/>
        </w:rPr>
        <w:instrText>ADDIN CSL_CITATION {"citationItems":[{"id":"ITEM-1","itemData":{"DOI":"10.22437/ujh.1.1.159-185","ISSN":"2598-7933","author":[{"dropping-particle":"","family":"Aulia","given":"M Zulfa","non-dropping-particle":"","parse-names":false,"suffix":""}],"container-title":"Undang: Jurnal Hukum","id":"ITEM-1","issue":"1","issued":{"date-parts":[["2018"]]},"page":"159-185","title":"Hukum Progresif dari Satjipto Rahardjo: Riwayat, Urgensi, dan Relevansi","type":"article-journal","volume":"1"},"uris":["http://www.mendeley.com/documents/?uuid=580703e5-9e38-4105-a090-089228668535"]}],"mendeley":{"formattedCitation":"M Zulfa Aulia, “Hukum Progresif Dari Satjipto Rahardjo: Riwayat, Urgensi, Dan Relevansi,” &lt;i&gt;Undang: Jurnal Hukum&lt;/i&gt; 1, no. 1 (2018): 159–85, https://doi.org/10.22437/ujh.1.1.159-185.","plainTextFormattedCitation":"M Zulfa Aulia, “Hukum Progresif Dari Satjipto Rahardjo: Riwayat, Urgensi, Dan Relevansi,” Undang: Jurnal Hukum 1, no. 1 (2018): 159–85, https://doi.org/10.22437/ujh.1.1.159-185.","previouslyFormattedCitation":"M Zulfa Aulia, “Hukum Progresif Dari Satjipto Rahardjo: Riwayat, Urgensi, Dan Relevansi,” &lt;i&gt;Undang: Jurnal Hukum&lt;/i&gt; 1, no. 1 (2018): 159–85, https://doi.org/10.22437/ujh.1.1.159-185."},"properties":{"noteIndex":46},"schema":"https://github.com/citation-style-language/schema/raw/master/csl-citation.json"}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M Zulfa Aulia, “Hukum Progresif Dari Satjipto Rahardjo: Riwayat, Urgensi, Dan Relevansi,” </w:t>
      </w:r>
      <w:r w:rsidRPr="00C33189">
        <w:rPr>
          <w:rFonts w:ascii="Garamond" w:hAnsi="Garamond"/>
          <w:i/>
          <w:noProof/>
        </w:rPr>
        <w:t>Undang: Jurnal Hukum</w:t>
      </w:r>
      <w:r w:rsidRPr="00C33189">
        <w:rPr>
          <w:rFonts w:ascii="Garamond" w:hAnsi="Garamond"/>
          <w:noProof/>
        </w:rPr>
        <w:t xml:space="preserve"> 1, no. 1 (2018): 159–85, https://doi.org/10.22437/ujh.1.1.159-185.</w:t>
      </w:r>
      <w:r w:rsidRPr="00C33189">
        <w:rPr>
          <w:rFonts w:ascii="Garamond" w:hAnsi="Garamond"/>
        </w:rPr>
        <w:fldChar w:fldCharType="end"/>
      </w:r>
    </w:p>
  </w:footnote>
  <w:footnote w:id="47">
    <w:p w14:paraId="17B2C63E" w14:textId="7B39FF61" w:rsidR="00503DA2" w:rsidRPr="00C33189" w:rsidRDefault="00503DA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DOI":"10.38035/jgsp.v3i4.508","author":[{"dropping-particle":"","family":"Muchtarom","given":"Achmad","non-dropping-particle":"","parse-names":false,"suffix":""},{"dropping-particle":"","family":"Budianto","given":"Azis","non-dropping-particle":"","parse-names":false,"suffix":""}],"container-title":"Jurnal Greenation Sosial dan Politik","id":"ITEM-1","issue":"4","issued":{"date-parts":[["2025"]]},"page":"866-874","title":"Progressive Legal Reform as an Effort to Address Inequality in Law Enforcement and Strengthen Social Cohesion in Indonesia","type":"article-journal","volume":"3"},"uris":["http://www.mendeley.com/documents/?uuid=d32d3dd4-204b-45be-8dec-5ff0073903c4"]}],"mendeley":{"formattedCitation":"Achmad Muchtarom and Azis Budianto, “Progressive Legal Reform as an Effort to Address Inequality in Law Enforcement and Strengthen Social Cohesion in Indonesia,” &lt;i&gt;Jurnal Greenation Sosial Dan Politik&lt;/i&gt; 3, no. 4 (2025): 866–74, https://doi.org/10.38035/jgsp.v3i4.508.","plainTextFormattedCitation":"Achmad Muchtarom and Azis Budianto, “Progressive Legal Reform as an Effort to Address Inequality in Law Enforcement and Strengthen Social Cohesion in Indonesia,” Jurnal Greenation Sosial Dan Politik 3, no. 4 (2025): 866–74, https://doi.org/10.38035/jgsp.v3i4.508.","previouslyFormattedCitation":"Achmad Muchtarom and Azis Budianto, “Progressive Legal Reform as an Effort to Address Inequality in Law Enforcement and Strengthen Social Cohesion in Indonesia,” &lt;i&gt;Jurnal Greenation Sosial Dan Politik&lt;/i&gt; 3, no. 4 (2025): 866–74, https://doi.org/10.38035/jgsp.v3i4.508."},"properties":{"noteIndex":47},"schema":"https://github.com/citation-style-language/schema/raw/master/csl-citation.json"}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Achmad Muchtarom and Azis Budianto, “Progressive Legal Reform as an Effort to Address Inequality in Law Enforcement and Strengthen Social Cohesion in Indonesia,” </w:t>
      </w:r>
      <w:r w:rsidRPr="00C33189">
        <w:rPr>
          <w:rFonts w:ascii="Garamond" w:hAnsi="Garamond"/>
          <w:i/>
          <w:noProof/>
        </w:rPr>
        <w:t>Jurnal Greenation Sosial Dan Politik</w:t>
      </w:r>
      <w:r w:rsidRPr="00C33189">
        <w:rPr>
          <w:rFonts w:ascii="Garamond" w:hAnsi="Garamond"/>
          <w:noProof/>
        </w:rPr>
        <w:t xml:space="preserve"> 3, no. 4 (2025): 866–74, https://doi.org/10.38035/jgsp.v3i4.508.</w:t>
      </w:r>
      <w:r w:rsidRPr="00C33189">
        <w:rPr>
          <w:rFonts w:ascii="Garamond" w:hAnsi="Garamond"/>
        </w:rPr>
        <w:fldChar w:fldCharType="end"/>
      </w:r>
    </w:p>
  </w:footnote>
  <w:footnote w:id="48">
    <w:p w14:paraId="044C026A" w14:textId="6EA15241" w:rsidR="00503DA2" w:rsidRPr="00C33189" w:rsidRDefault="00503DA2"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DD02E3" w:rsidRPr="00C33189">
        <w:rPr>
          <w:rFonts w:ascii="Garamond" w:hAnsi="Garamond"/>
        </w:rPr>
        <w:instrText>ADDIN CSL_CITATION {"citationItems":[{"id":"ITEM-1","itemData":{"DOI":"10.36781/khidmatuna.v4i2.1182","author":[{"dropping-particle":"","family":"Ghoni","given":"Khoirul Abror Ad-Dluha","non-dropping-particle":"","parse-names":false,"suffix":""},{"dropping-particle":"","family":"Esteria","given":"Artha Grace","non-dropping-particle":"","parse-names":false,"suffix":""}],"container-title":"Khidmatuna: Jurnal Pengabdian Masyarakat","id":"ITEM-1","issue":"2","issued":{"date-parts":[["2025"]]},"page":"39-46","title":"Socialization of Indonesia--Malaysia Bilateral Policy in The Field of Education: A Study on Sekolah Indonesia Johor Bahru (SIJB)","type":"article-journal","volume":"4"},"uris":["http://www.mendeley.com/documents/?uuid=7bfb53fe-6482-4ec0-90c8-7617474f096a"]}],"mendeley":{"formattedCitation":"Khoirul Abror Ad-Dluha Ghoni and Artha Grace Esteria, “Socialization of Indonesia--Malaysia Bilateral Policy in The Field of Education: A Study on Sekolah Indonesia Johor Bahru (SIJB),” &lt;i&gt;Khidmatuna: Jurnal Pengabdian Masyarakat&lt;/i&gt; 4, no. 2 (2025): 39–46, https://doi.org/10.36781/khidmatuna.v4i2.1182.","plainTextFormattedCitation":"Khoirul Abror Ad-Dluha Ghoni and Artha Grace Esteria, “Socialization of Indonesia--Malaysia Bilateral Policy in The Field of Education: A Study on Sekolah Indonesia Johor Bahru (SIJB),” Khidmatuna: Jurnal Pengabdian Masyarakat 4, no. 2 (2025): 39–46, https://doi.org/10.36781/khidmatuna.v4i2.1182.","previouslyFormattedCitation":"Khoirul Abror Ad-Dluha Ghoni and Artha Grace Esteria, “Socialization of Indonesia--Malaysia Bilateral Policy in The Field of Education: A Study on Sekolah Indonesia Johor Bahru (SIJB),” &lt;i&gt;Khidmatuna: Jurnal Pengabdian Masyarakat&lt;/i&gt; 4, no. 2 (2025): 39–46, https://doi.org/10.36781/khidmatuna.v4i2.1182."},"properties":{"noteIndex":48},"schema":"https://github.com/citation-style-language/schema/raw/master/csl-citation.json"}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Khoirul Abror Ad-Dluha Ghoni and Artha Grace Esteria, “Socialization of Indonesia--Malaysia Bilateral Policy in The Field of Education: A Study on Sekolah Indonesia Johor Bahru (SIJB),” </w:t>
      </w:r>
      <w:r w:rsidRPr="00C33189">
        <w:rPr>
          <w:rFonts w:ascii="Garamond" w:hAnsi="Garamond"/>
          <w:i/>
          <w:noProof/>
        </w:rPr>
        <w:t>Khidmatuna: Jurnal Pengabdian Masyarakat</w:t>
      </w:r>
      <w:r w:rsidRPr="00C33189">
        <w:rPr>
          <w:rFonts w:ascii="Garamond" w:hAnsi="Garamond"/>
          <w:noProof/>
        </w:rPr>
        <w:t xml:space="preserve"> 4, no. 2 (2025): 39–46, https://doi.org/10.36781/khidmatuna.v4i2.1182.</w:t>
      </w:r>
      <w:r w:rsidRPr="00C33189">
        <w:rPr>
          <w:rFonts w:ascii="Garamond" w:hAnsi="Garamond"/>
        </w:rPr>
        <w:fldChar w:fldCharType="end"/>
      </w:r>
    </w:p>
  </w:footnote>
  <w:footnote w:id="49">
    <w:p w14:paraId="2F3FB420" w14:textId="21865726" w:rsidR="00DD02E3" w:rsidRPr="00C33189" w:rsidRDefault="00DD02E3"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DOI":"10.47268/sasi.v30i4.2303","ISSN":"1693-0061","author":[{"dropping-particle":"","family":"Febrianty","given":"Yenny","non-dropping-particle":"","parse-names":false,"suffix":""},{"dropping-particle":"","family":"Ghapa","given":"Hasliza","non-dropping-particle":"","parse-names":false,"suffix":""},{"dropping-particle":"","family":"Ahmad","given":"Asmida","non-dropping-particle":"","parse-names":false,"suffix":""}],"container-title":"SASI","id":"ITEM-1","issue":"4","issued":{"date-parts":[["2024","12"]]},"page":"379-401","publisher":"Faculty of Law, Universitas Pattimura","title":"Integration of Customary Law in The National Legal System: Comparative Study of Malaysia and Indonesia","type":"article-journal","volume":"30"},"uris":["http://www.mendeley.com/documents/?uuid=00f6555e-1507-4525-a1da-d12c62213602"]}],"mendeley":{"formattedCitation":"Yenny Febrianty, Hasliza Ghapa, and Asmida Ahmad, “Integration of Customary Law in The National Legal System: Comparative Study of Malaysia and Indonesia,” &lt;i&gt;SASI&lt;/i&gt; 30, no. 4 (December 2024): 379–401, https://doi.org/10.47268/sasi.v30i4.2303.","plainTextFormattedCitation":"Yenny Febrianty, Hasliza Ghapa, and Asmida Ahmad, “Integration of Customary Law in The National Legal System: Comparative Study of Malaysia and Indonesia,” SASI 30, no. 4 (December 2024): 379–401, https://doi.org/10.47268/sasi.v30i4.2303.","previouslyFormattedCitation":"Yenny Febrianty, Hasliza Ghapa, and Asmida Ahmad, “Integration of Customary Law in The National Legal System: Comparative Study of Malaysia and Indonesia,” &lt;i&gt;SASI&lt;/i&gt; 30, no. 4 (December 2024): 379–401, https://doi.org/10.47268/sasi.v30i4.2303."},"properties":{"noteIndex":49},"schema":"https://github.com/citation-style-language/schema/raw/master/csl-citation.json"}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Yenny Febrianty, Hasliza Ghapa, and Asmida Ahmad, “Integration of Customary Law in The National Legal System: Comparative Study of Malaysia and Indonesia,” </w:t>
      </w:r>
      <w:r w:rsidRPr="00C33189">
        <w:rPr>
          <w:rFonts w:ascii="Garamond" w:hAnsi="Garamond"/>
          <w:i/>
          <w:noProof/>
        </w:rPr>
        <w:t>SASI</w:t>
      </w:r>
      <w:r w:rsidRPr="00C33189">
        <w:rPr>
          <w:rFonts w:ascii="Garamond" w:hAnsi="Garamond"/>
          <w:noProof/>
        </w:rPr>
        <w:t xml:space="preserve"> 30, no. 4 (December 2024): 379–401, https://doi.org/10.47268/sasi.v30i4.2303.</w:t>
      </w:r>
      <w:r w:rsidRPr="00C33189">
        <w:rPr>
          <w:rFonts w:ascii="Garamond" w:hAnsi="Garamond"/>
        </w:rPr>
        <w:fldChar w:fldCharType="end"/>
      </w:r>
    </w:p>
  </w:footnote>
  <w:footnote w:id="50">
    <w:p w14:paraId="51A1C194" w14:textId="5E225EA3" w:rsidR="00DD02E3" w:rsidRPr="00C33189" w:rsidRDefault="00DD02E3"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DOI":"10.62951/icgel.v2i2.171","author":[{"dropping-particle":"","family":"Pabbajah","given":"Mustaqim","non-dropping-particle":"","parse-names":false,"suffix":""},{"dropping-particle":"","family":"Juhansar","given":"Juhansar","non-dropping-particle":"","parse-names":false,"suffix":""},{"dropping-particle":"","family":"Widyanti","given":"Ratri Nurina","non-dropping-particle":"","parse-names":false,"suffix":""},{"dropping-particle":"","family":"Widyatmoko","given":"Widi Fajar","non-dropping-particle":"","parse-names":false,"suffix":""},{"dropping-particle":"","family":"Ghozali","given":"Mohammad Faizal","non-dropping-particle":"Al","parse-names":false,"suffix":""}],"container-title":"Proceeding of the International Conference on Global Education and Learning","id":"ITEM-1","issue":"2","issued":{"date-parts":[["2025"]]},"page":"60-69","title":"Integrating Local Culture in Higher Education: Foundation of Indonesia's National Identity","type":"article-journal","volume":"2"},"uris":["http://www.mendeley.com/documents/?uuid=c005056c-3ddb-4b3a-b725-202dbe8e2849"]}],"mendeley":{"formattedCitation":"Mustaqim Pabbajah et al., “Integrating Local Culture in Higher Education: Foundation of Indonesia’s National Identity,” &lt;i&gt;Proceeding of the International Conference on Global Education and Learning&lt;/i&gt; 2, no. 2 (2025): 60–69, https://doi.org/10.62951/icgel.v2i2.171.","plainTextFormattedCitation":"Mustaqim Pabbajah et al., “Integrating Local Culture in Higher Education: Foundation of Indonesia’s National Identity,” Proceeding of the International Conference on Global Education and Learning 2, no. 2 (2025): 60–69, https://doi.org/10.62951/icgel.v2i2.171.","previouslyFormattedCitation":"Mustaqim Pabbajah et al., “Integrating Local Culture in Higher Education: Foundation of Indonesia’s National Identity,” &lt;i&gt;Proceeding of the International Conference on Global Education and Learning&lt;/i&gt; 2, no. 2 (2025): 60–69, https://doi.org/10.62951/icgel.v2i2.171."},"properties":{"noteIndex":50},"schema":"https://github.com/citation-style-language/schema/raw/master/csl-citation.json"}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Mustaqim Pabbajah et al., “Integrating Local Culture in Higher Education: Foundation of Indonesia’s National Identity,” </w:t>
      </w:r>
      <w:r w:rsidRPr="00C33189">
        <w:rPr>
          <w:rFonts w:ascii="Garamond" w:hAnsi="Garamond"/>
          <w:i/>
          <w:noProof/>
        </w:rPr>
        <w:t>Proceeding of the International Conference on Global Education and Learning</w:t>
      </w:r>
      <w:r w:rsidRPr="00C33189">
        <w:rPr>
          <w:rFonts w:ascii="Garamond" w:hAnsi="Garamond"/>
          <w:noProof/>
        </w:rPr>
        <w:t xml:space="preserve"> 2, no. 2 (2025): 60–69, https://doi.org/10.62951/icgel.v2i2.171.</w:t>
      </w:r>
      <w:r w:rsidRPr="00C33189">
        <w:rPr>
          <w:rFonts w:ascii="Garamond" w:hAnsi="Garamond"/>
        </w:rPr>
        <w:fldChar w:fldCharType="end"/>
      </w:r>
    </w:p>
  </w:footnote>
  <w:footnote w:id="51">
    <w:p w14:paraId="03EE6B3D" w14:textId="735A8AAB" w:rsidR="00C33189" w:rsidRPr="00C33189" w:rsidRDefault="00C33189"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Pr="00C33189">
        <w:rPr>
          <w:rFonts w:ascii="Garamond" w:hAnsi="Garamond"/>
        </w:rPr>
        <w:instrText>ADDIN CSL_CITATION {"citationItems":[{"id":"ITEM-1","itemData":{"DOI":"10.1016/j.ijdrr.2022.103407","author":[{"dropping-particle":"","family":"Ilmi Nasution","given":"Bahrul","non-dropping-particle":"","parse-names":false,"suffix":""},{"dropping-particle":"","family":"Saputra","given":"Muhammad","non-dropping-particle":"","parse-names":false,"suffix":""},{"dropping-particle":"","family":"Kurniawan","given":"Robert","non-dropping-particle":"","parse-names":false,"suffix":""},{"dropping-particle":"","family":"Ridwan","given":"Ahmad","non-dropping-particle":"","parse-names":false,"suffix":""},{"dropping-particle":"","family":"Fudholi","given":"Ahmad","non-dropping-particle":"","parse-names":false,"suffix":""},{"dropping-particle":"","family":"Sumargo","given":"Bagus","non-dropping-particle":"","parse-names":false,"suffix":""}],"container-title":"International Journal of Disaster Risk Reduction","id":"ITEM-1","issued":{"date-parts":[["2022"]]},"page":"103407","title":"Urban vulnerability to floods investigation in jakarta, Indonesia: A hybrid optimized fuzzy spatial clustering and news media analysis approach","type":"article-journal","volume":"83"},"uris":["http://www.mendeley.com/documents/?uuid=0f71f69b-090f-4845-a8d6-df3049c0b002"]}],"mendeley":{"formattedCitation":"Bahrul Ilmi Nasution et al., “Urban Vulnerability to Floods Investigation in Jakarta, Indonesia: A Hybrid Optimized Fuzzy Spatial Clustering and News Media Analysis Approach,” &lt;i&gt;International Journal of Disaster Risk Reduction&lt;/i&gt; 83 (2022): 103407, https://doi.org/10.1016/j.ijdrr.2022.103407.","plainTextFormattedCitation":"Bahrul Ilmi Nasution et al., “Urban Vulnerability to Floods Investigation in Jakarta, Indonesia: A Hybrid Optimized Fuzzy Spatial Clustering and News Media Analysis Approach,” International Journal of Disaster Risk Reduction 83 (2022): 103407, https://doi.org/10.1016/j.ijdrr.2022.103407.","previouslyFormattedCitation":"Bahrul Ilmi Nasution et al., “Urban Vulnerability to Floods Investigation in Jakarta, Indonesia: A Hybrid Optimized Fuzzy Spatial Clustering and News Media Analysis Approach,” &lt;i&gt;International Journal of Disaster Risk Reduction&lt;/i&gt; 83 (2022): 103407, https://doi.org/10.1016/j.ijdrr.2022.103407."},"properties":{"noteIndex":51},"schema":"https://github.com/citation-style-language/schema/raw/master/csl-citation.json"}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Bahrul Ilmi Nasution et al., “Urban Vulnerability to Floods Investigation in Jakarta, Indonesia: A Hybrid Optimized Fuzzy Spatial Clustering and News Media Analysis Approach,” </w:t>
      </w:r>
      <w:r w:rsidRPr="00C33189">
        <w:rPr>
          <w:rFonts w:ascii="Garamond" w:hAnsi="Garamond"/>
          <w:i/>
          <w:noProof/>
        </w:rPr>
        <w:t>International Journal of Disaster Risk Reduction</w:t>
      </w:r>
      <w:r w:rsidRPr="00C33189">
        <w:rPr>
          <w:rFonts w:ascii="Garamond" w:hAnsi="Garamond"/>
          <w:noProof/>
        </w:rPr>
        <w:t xml:space="preserve"> 83 (2022): 103407, https://doi.org/10.1016/j.ijdrr.2022.103407.</w:t>
      </w:r>
      <w:r w:rsidRPr="00C33189">
        <w:rPr>
          <w:rFonts w:ascii="Garamond" w:hAnsi="Garamond"/>
        </w:rPr>
        <w:fldChar w:fldCharType="end"/>
      </w:r>
    </w:p>
  </w:footnote>
  <w:footnote w:id="52">
    <w:p w14:paraId="48FCA9CC" w14:textId="6ADA3B0D" w:rsidR="00C33189" w:rsidRPr="00C33189" w:rsidRDefault="00C33189" w:rsidP="00C33189">
      <w:pPr>
        <w:pStyle w:val="FootnoteText"/>
        <w:jc w:val="both"/>
        <w:rPr>
          <w:rFonts w:ascii="Garamond" w:hAnsi="Garamond"/>
        </w:rPr>
      </w:pPr>
      <w:r w:rsidRPr="00C33189">
        <w:rPr>
          <w:rStyle w:val="FootnoteReference"/>
          <w:rFonts w:ascii="Garamond" w:hAnsi="Garamond"/>
        </w:rPr>
        <w:footnoteRef/>
      </w:r>
      <w:r w:rsidRPr="00C33189">
        <w:rPr>
          <w:rFonts w:ascii="Garamond" w:hAnsi="Garamond"/>
        </w:rPr>
        <w:t xml:space="preserve"> </w:t>
      </w:r>
      <w:r w:rsidRPr="00C33189">
        <w:rPr>
          <w:rFonts w:ascii="Garamond" w:hAnsi="Garamond"/>
        </w:rPr>
        <w:fldChar w:fldCharType="begin" w:fldLock="1"/>
      </w:r>
      <w:r w:rsidR="00AC7D87">
        <w:rPr>
          <w:rFonts w:ascii="Garamond" w:hAnsi="Garamond"/>
        </w:rPr>
        <w:instrText>ADDIN CSL_CITATION {"citationItems":[{"id":"ITEM-1","itemData":{"DOI":"10.46229/elia.v6i1.1099","author":[{"dropping-particle":"","family":"Tawarik","given":"Oxtapianus","non-dropping-particle":"","parse-names":false,"suffix":""},{"dropping-particle":"","family":"Giovani","given":"Wanda","non-dropping-particle":"","parse-names":false,"suffix":""},{"dropping-particle":"","family":"Siboro","given":"Efrika","non-dropping-particle":"","parse-names":false,"suffix":""},{"dropping-particle":"","family":"Upa","given":"Yunika","non-dropping-particle":"","parse-names":false,"suffix":""}],"container-title":"Journal of Educational Learning and Innovation (ELIa)","id":"ITEM-1","issue":"1","issued":{"date-parts":[["2026"]]},"page":"53-73","title":"An Ethnolinguistic Content of Dayak and Malay Culture in English Language Teaching: Its Impact on Students' Reading and Speaking Proficiency","type":"article-journal","volume":"6"},"uris":["http://www.mendeley.com/documents/?uuid=480914a0-9a28-408e-8df2-c74658d2ae80"]}],"mendeley":{"formattedCitation":"Oxtapianus Tawarik et al., “An Ethnolinguistic Content of Dayak and Malay Culture in English Language Teaching: Its Impact on Students’ Reading and Speaking Proficiency,” &lt;i&gt;Journal of Educational Learning and Innovation (ELIa)&lt;/i&gt; 6, no. 1 (2026): 53–73, https://doi.org/10.46229/elia.v6i1.1099.","plainTextFormattedCitation":"Oxtapianus Tawarik et al., “An Ethnolinguistic Content of Dayak and Malay Culture in English Language Teaching: Its Impact on Students’ Reading and Speaking Proficiency,” Journal of Educational Learning and Innovation (ELIa) 6, no. 1 (2026): 53–73, https://doi.org/10.46229/elia.v6i1.1099.","previouslyFormattedCitation":"Oxtapianus Tawarik et al., “An Ethnolinguistic Content of Dayak and Malay Culture in English Language Teaching: Its Impact on Students’ Reading and Speaking Proficiency,” &lt;i&gt;Journal of Educational Learning and Innovation (ELIa)&lt;/i&gt; 6, no. 1 (2026): 53–73, https://doi.org/10.46229/elia.v6i1.1099."},"properties":{"noteIndex":52},"schema":"https://github.com/citation-style-language/schema/raw/master/csl-citation.json"}</w:instrText>
      </w:r>
      <w:r w:rsidRPr="00C33189">
        <w:rPr>
          <w:rFonts w:ascii="Garamond" w:hAnsi="Garamond"/>
        </w:rPr>
        <w:fldChar w:fldCharType="separate"/>
      </w:r>
      <w:r w:rsidRPr="00C33189">
        <w:rPr>
          <w:rFonts w:ascii="Garamond" w:hAnsi="Garamond"/>
          <w:noProof/>
        </w:rPr>
        <w:t xml:space="preserve">Oxtapianus Tawarik et al., “An Ethnolinguistic Content of Dayak and Malay Culture in English Language Teaching: Its Impact on Students’ Reading and Speaking Proficiency,” </w:t>
      </w:r>
      <w:r w:rsidRPr="00C33189">
        <w:rPr>
          <w:rFonts w:ascii="Garamond" w:hAnsi="Garamond"/>
          <w:i/>
          <w:noProof/>
        </w:rPr>
        <w:t>Journal of Educational Learning and Innovation (ELIa)</w:t>
      </w:r>
      <w:r w:rsidRPr="00C33189">
        <w:rPr>
          <w:rFonts w:ascii="Garamond" w:hAnsi="Garamond"/>
          <w:noProof/>
        </w:rPr>
        <w:t xml:space="preserve"> 6, no. 1 (2026): 53–73, https://doi.org/10.46229/elia.v6i1.1099.</w:t>
      </w:r>
      <w:r w:rsidRPr="00C33189">
        <w:rPr>
          <w:rFonts w:ascii="Garamond" w:hAnsi="Garamond"/>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20E4A" w14:textId="77777777" w:rsidR="00DF11B2" w:rsidRDefault="00000000">
    <w:pPr>
      <w:pStyle w:val="Header"/>
      <w:ind w:right="2789"/>
      <w:rPr>
        <w:rFonts w:ascii="Garamond" w:hAnsi="Garamond" w:cs="Times New Roman"/>
        <w:b/>
        <w:bCs/>
        <w:color w:val="385623" w:themeColor="accent6" w:themeShade="80"/>
        <w:sz w:val="30"/>
        <w:szCs w:val="30"/>
      </w:rPr>
    </w:pPr>
    <w:r>
      <w:rPr>
        <w:rFonts w:ascii="Garamond" w:hAnsi="Garamond" w:cs="Times New Roman"/>
        <w:b/>
        <w:bCs/>
        <w:color w:val="385623" w:themeColor="accent6" w:themeShade="80"/>
        <w:sz w:val="22"/>
        <w:szCs w:val="22"/>
      </w:rPr>
      <w:t>The title of this article. . .</w:t>
    </w:r>
    <w:r>
      <w:rPr>
        <w:rFonts w:ascii="Garamond" w:hAnsi="Garamond" w:cs="Times New Roman"/>
        <w:b/>
        <w:bCs/>
        <w:color w:val="385623" w:themeColor="accent6" w:themeShade="80"/>
        <w:sz w:val="30"/>
        <w:szCs w:val="30"/>
      </w:rPr>
      <w:t xml:space="preserve"> </w:t>
    </w:r>
    <w:r>
      <w:rPr>
        <w:rFonts w:ascii="Garamond" w:hAnsi="Garamond" w:cs="Times New Roman"/>
        <w:b/>
        <w:bCs/>
        <w:noProof/>
        <w:color w:val="70AD47" w:themeColor="accent6"/>
        <w:sz w:val="36"/>
        <w:szCs w:val="36"/>
      </w:rPr>
      <mc:AlternateContent>
        <mc:Choice Requires="wps">
          <w:drawing>
            <wp:anchor distT="0" distB="0" distL="114300" distR="114300" simplePos="0" relativeHeight="251661312" behindDoc="0" locked="0" layoutInCell="1" allowOverlap="1" wp14:anchorId="09F9344D" wp14:editId="38583288">
              <wp:simplePos x="0" y="0"/>
              <wp:positionH relativeFrom="column">
                <wp:posOffset>5528310</wp:posOffset>
              </wp:positionH>
              <wp:positionV relativeFrom="paragraph">
                <wp:posOffset>1270</wp:posOffset>
              </wp:positionV>
              <wp:extent cx="1408430" cy="271780"/>
              <wp:effectExtent l="0" t="0" r="1905" b="0"/>
              <wp:wrapNone/>
              <wp:docPr id="1196189195" name="Persegi Panjang 10"/>
              <wp:cNvGraphicFramePr/>
              <a:graphic xmlns:a="http://schemas.openxmlformats.org/drawingml/2006/main">
                <a:graphicData uri="http://schemas.microsoft.com/office/word/2010/wordprocessingShape">
                  <wps:wsp>
                    <wps:cNvSpPr/>
                    <wps:spPr>
                      <a:xfrm>
                        <a:off x="0" y="0"/>
                        <a:ext cx="1408295" cy="271849"/>
                      </a:xfrm>
                      <a:prstGeom prst="rect">
                        <a:avLst/>
                      </a:prstGeom>
                      <a:solidFill>
                        <a:schemeClr val="accent6">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3D70BF0" w14:textId="77777777" w:rsidR="00DF11B2" w:rsidRDefault="00000000">
                          <w:pPr>
                            <w:pStyle w:val="Footer"/>
                            <w:rPr>
                              <w:rFonts w:ascii="Times New Roman" w:hAnsi="Times New Roman" w:cs="Times New Roman"/>
                              <w:b/>
                              <w:bCs/>
                              <w:color w:val="FFFFFF" w:themeColor="background1"/>
                              <w:sz w:val="22"/>
                              <w:szCs w:val="22"/>
                            </w:rPr>
                          </w:pPr>
                          <w:r>
                            <w:rPr>
                              <w:rFonts w:ascii="Times New Roman" w:hAnsi="Times New Roman" w:cs="Times New Roman"/>
                              <w:color w:val="FFFFFF" w:themeColor="background1"/>
                              <w:sz w:val="22"/>
                              <w:szCs w:val="22"/>
                              <w:lang w:val="id-ID"/>
                            </w:rPr>
                            <w:t xml:space="preserve">Page </w:t>
                          </w:r>
                          <w:r>
                            <w:rPr>
                              <w:rFonts w:ascii="Times New Roman" w:hAnsi="Times New Roman" w:cs="Times New Roman"/>
                              <w:b/>
                              <w:bCs/>
                              <w:color w:val="FFFFFF" w:themeColor="background1"/>
                              <w:sz w:val="22"/>
                              <w:szCs w:val="22"/>
                            </w:rPr>
                            <w:fldChar w:fldCharType="begin"/>
                          </w:r>
                          <w:r>
                            <w:rPr>
                              <w:rFonts w:ascii="Times New Roman" w:hAnsi="Times New Roman" w:cs="Times New Roman"/>
                              <w:b/>
                              <w:bCs/>
                              <w:color w:val="FFFFFF" w:themeColor="background1"/>
                              <w:sz w:val="22"/>
                              <w:szCs w:val="22"/>
                            </w:rPr>
                            <w:instrText>PAGE</w:instrText>
                          </w:r>
                          <w:r>
                            <w:rPr>
                              <w:rFonts w:ascii="Times New Roman" w:hAnsi="Times New Roman" w:cs="Times New Roman"/>
                              <w:b/>
                              <w:bCs/>
                              <w:color w:val="FFFFFF" w:themeColor="background1"/>
                              <w:sz w:val="22"/>
                              <w:szCs w:val="22"/>
                            </w:rPr>
                            <w:fldChar w:fldCharType="separate"/>
                          </w:r>
                          <w:r>
                            <w:rPr>
                              <w:rFonts w:ascii="Times New Roman" w:hAnsi="Times New Roman" w:cs="Times New Roman"/>
                              <w:b/>
                              <w:bCs/>
                              <w:color w:val="FFFFFF" w:themeColor="background1"/>
                              <w:sz w:val="22"/>
                              <w:szCs w:val="22"/>
                            </w:rPr>
                            <w:t>1</w:t>
                          </w:r>
                          <w:r>
                            <w:rPr>
                              <w:rFonts w:ascii="Times New Roman" w:hAnsi="Times New Roman" w:cs="Times New Roman"/>
                              <w:b/>
                              <w:bCs/>
                              <w:color w:val="FFFFFF" w:themeColor="background1"/>
                              <w:sz w:val="22"/>
                              <w:szCs w:val="22"/>
                            </w:rPr>
                            <w:fldChar w:fldCharType="end"/>
                          </w:r>
                          <w:r>
                            <w:rPr>
                              <w:rFonts w:ascii="Times New Roman" w:hAnsi="Times New Roman" w:cs="Times New Roman"/>
                              <w:color w:val="FFFFFF" w:themeColor="background1"/>
                              <w:sz w:val="22"/>
                              <w:szCs w:val="22"/>
                              <w:lang w:val="id-ID"/>
                            </w:rPr>
                            <w:t xml:space="preserve"> of </w:t>
                          </w:r>
                          <w:r>
                            <w:rPr>
                              <w:rFonts w:ascii="Times New Roman" w:hAnsi="Times New Roman" w:cs="Times New Roman"/>
                              <w:b/>
                              <w:bCs/>
                              <w:color w:val="FFFFFF" w:themeColor="background1"/>
                              <w:sz w:val="22"/>
                              <w:szCs w:val="22"/>
                            </w:rPr>
                            <w:fldChar w:fldCharType="begin"/>
                          </w:r>
                          <w:r>
                            <w:rPr>
                              <w:rFonts w:ascii="Times New Roman" w:hAnsi="Times New Roman" w:cs="Times New Roman"/>
                              <w:b/>
                              <w:bCs/>
                              <w:color w:val="FFFFFF" w:themeColor="background1"/>
                              <w:sz w:val="22"/>
                              <w:szCs w:val="22"/>
                            </w:rPr>
                            <w:instrText>NUMPAGES</w:instrText>
                          </w:r>
                          <w:r>
                            <w:rPr>
                              <w:rFonts w:ascii="Times New Roman" w:hAnsi="Times New Roman" w:cs="Times New Roman"/>
                              <w:b/>
                              <w:bCs/>
                              <w:color w:val="FFFFFF" w:themeColor="background1"/>
                              <w:sz w:val="22"/>
                              <w:szCs w:val="22"/>
                            </w:rPr>
                            <w:fldChar w:fldCharType="separate"/>
                          </w:r>
                          <w:r>
                            <w:rPr>
                              <w:rFonts w:ascii="Times New Roman" w:hAnsi="Times New Roman" w:cs="Times New Roman"/>
                              <w:b/>
                              <w:bCs/>
                              <w:color w:val="FFFFFF" w:themeColor="background1"/>
                              <w:sz w:val="22"/>
                              <w:szCs w:val="22"/>
                            </w:rPr>
                            <w:t>9</w:t>
                          </w:r>
                          <w:r>
                            <w:rPr>
                              <w:rFonts w:ascii="Times New Roman" w:hAnsi="Times New Roman" w:cs="Times New Roman"/>
                              <w:b/>
                              <w:bCs/>
                              <w:color w:val="FFFFFF" w:themeColor="background1"/>
                              <w:sz w:val="22"/>
                              <w:szCs w:val="22"/>
                            </w:rPr>
                            <w:fldChar w:fldCharType="end"/>
                          </w:r>
                        </w:p>
                        <w:p w14:paraId="3BF1C264" w14:textId="77777777" w:rsidR="00DF11B2" w:rsidRDefault="00DF11B2">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F9344D" id="Persegi Panjang 10" o:spid="_x0000_s1026" style="position:absolute;margin-left:435.3pt;margin-top:.1pt;width:110.9pt;height:21.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" fillcolor="#375623 [1609]" stroked="f" strokeweight="1pt">
              <v:textbox>
                <w:txbxContent>
                  <w:p w14:paraId="13D70BF0" w14:textId="77777777" w:rsidR="00DF11B2" w:rsidRDefault="00000000">
                    <w:pPr>
                      <w:pStyle w:val="Footer"/>
                      <w:rPr>
                        <w:rFonts w:ascii="Times New Roman" w:hAnsi="Times New Roman" w:cs="Times New Roman"/>
                        <w:b/>
                        <w:bCs/>
                        <w:color w:val="FFFFFF" w:themeColor="background1"/>
                        <w:sz w:val="22"/>
                        <w:szCs w:val="22"/>
                      </w:rPr>
                    </w:pPr>
                    <w:r>
                      <w:rPr>
                        <w:rFonts w:ascii="Times New Roman" w:hAnsi="Times New Roman" w:cs="Times New Roman"/>
                        <w:color w:val="FFFFFF" w:themeColor="background1"/>
                        <w:sz w:val="22"/>
                        <w:szCs w:val="22"/>
                        <w:lang w:val="id-ID"/>
                      </w:rPr>
                      <w:t xml:space="preserve">Page </w:t>
                    </w:r>
                    <w:r>
                      <w:rPr>
                        <w:rFonts w:ascii="Times New Roman" w:hAnsi="Times New Roman" w:cs="Times New Roman"/>
                        <w:b/>
                        <w:bCs/>
                        <w:color w:val="FFFFFF" w:themeColor="background1"/>
                        <w:sz w:val="22"/>
                        <w:szCs w:val="22"/>
                      </w:rPr>
                      <w:fldChar w:fldCharType="begin"/>
                    </w:r>
                    <w:r>
                      <w:rPr>
                        <w:rFonts w:ascii="Times New Roman" w:hAnsi="Times New Roman" w:cs="Times New Roman"/>
                        <w:b/>
                        <w:bCs/>
                        <w:color w:val="FFFFFF" w:themeColor="background1"/>
                        <w:sz w:val="22"/>
                        <w:szCs w:val="22"/>
                      </w:rPr>
                      <w:instrText>PAGE</w:instrText>
                    </w:r>
                    <w:r>
                      <w:rPr>
                        <w:rFonts w:ascii="Times New Roman" w:hAnsi="Times New Roman" w:cs="Times New Roman"/>
                        <w:b/>
                        <w:bCs/>
                        <w:color w:val="FFFFFF" w:themeColor="background1"/>
                        <w:sz w:val="22"/>
                        <w:szCs w:val="22"/>
                      </w:rPr>
                      <w:fldChar w:fldCharType="separate"/>
                    </w:r>
                    <w:r>
                      <w:rPr>
                        <w:rFonts w:ascii="Times New Roman" w:hAnsi="Times New Roman" w:cs="Times New Roman"/>
                        <w:b/>
                        <w:bCs/>
                        <w:color w:val="FFFFFF" w:themeColor="background1"/>
                        <w:sz w:val="22"/>
                        <w:szCs w:val="22"/>
                      </w:rPr>
                      <w:t>1</w:t>
                    </w:r>
                    <w:r>
                      <w:rPr>
                        <w:rFonts w:ascii="Times New Roman" w:hAnsi="Times New Roman" w:cs="Times New Roman"/>
                        <w:b/>
                        <w:bCs/>
                        <w:color w:val="FFFFFF" w:themeColor="background1"/>
                        <w:sz w:val="22"/>
                        <w:szCs w:val="22"/>
                      </w:rPr>
                      <w:fldChar w:fldCharType="end"/>
                    </w:r>
                    <w:r>
                      <w:rPr>
                        <w:rFonts w:ascii="Times New Roman" w:hAnsi="Times New Roman" w:cs="Times New Roman"/>
                        <w:color w:val="FFFFFF" w:themeColor="background1"/>
                        <w:sz w:val="22"/>
                        <w:szCs w:val="22"/>
                        <w:lang w:val="id-ID"/>
                      </w:rPr>
                      <w:t xml:space="preserve"> of </w:t>
                    </w:r>
                    <w:r>
                      <w:rPr>
                        <w:rFonts w:ascii="Times New Roman" w:hAnsi="Times New Roman" w:cs="Times New Roman"/>
                        <w:b/>
                        <w:bCs/>
                        <w:color w:val="FFFFFF" w:themeColor="background1"/>
                        <w:sz w:val="22"/>
                        <w:szCs w:val="22"/>
                      </w:rPr>
                      <w:fldChar w:fldCharType="begin"/>
                    </w:r>
                    <w:r>
                      <w:rPr>
                        <w:rFonts w:ascii="Times New Roman" w:hAnsi="Times New Roman" w:cs="Times New Roman"/>
                        <w:b/>
                        <w:bCs/>
                        <w:color w:val="FFFFFF" w:themeColor="background1"/>
                        <w:sz w:val="22"/>
                        <w:szCs w:val="22"/>
                      </w:rPr>
                      <w:instrText>NUMPAGES</w:instrText>
                    </w:r>
                    <w:r>
                      <w:rPr>
                        <w:rFonts w:ascii="Times New Roman" w:hAnsi="Times New Roman" w:cs="Times New Roman"/>
                        <w:b/>
                        <w:bCs/>
                        <w:color w:val="FFFFFF" w:themeColor="background1"/>
                        <w:sz w:val="22"/>
                        <w:szCs w:val="22"/>
                      </w:rPr>
                      <w:fldChar w:fldCharType="separate"/>
                    </w:r>
                    <w:r>
                      <w:rPr>
                        <w:rFonts w:ascii="Times New Roman" w:hAnsi="Times New Roman" w:cs="Times New Roman"/>
                        <w:b/>
                        <w:bCs/>
                        <w:color w:val="FFFFFF" w:themeColor="background1"/>
                        <w:sz w:val="22"/>
                        <w:szCs w:val="22"/>
                      </w:rPr>
                      <w:t>9</w:t>
                    </w:r>
                    <w:r>
                      <w:rPr>
                        <w:rFonts w:ascii="Times New Roman" w:hAnsi="Times New Roman" w:cs="Times New Roman"/>
                        <w:b/>
                        <w:bCs/>
                        <w:color w:val="FFFFFF" w:themeColor="background1"/>
                        <w:sz w:val="22"/>
                        <w:szCs w:val="22"/>
                      </w:rPr>
                      <w:fldChar w:fldCharType="end"/>
                    </w:r>
                  </w:p>
                  <w:p w14:paraId="3BF1C264" w14:textId="77777777" w:rsidR="00DF11B2" w:rsidRDefault="00DF11B2">
                    <w:pPr>
                      <w:jc w:val="center"/>
                      <w:rPr>
                        <w:color w:val="FFFFFF" w:themeColor="background1"/>
                      </w:rPr>
                    </w:pPr>
                  </w:p>
                </w:txbxContent>
              </v:textbox>
            </v:rect>
          </w:pict>
        </mc:Fallback>
      </mc:AlternateContent>
    </w:r>
  </w:p>
  <w:p w14:paraId="79BAF509" w14:textId="77777777" w:rsidR="00DF11B2" w:rsidRDefault="00000000">
    <w:pPr>
      <w:pStyle w:val="Header"/>
      <w:ind w:right="2789"/>
      <w:rPr>
        <w:rFonts w:ascii="Garamond" w:hAnsi="Garamond" w:cs="Times New Roman"/>
        <w:b/>
        <w:bCs/>
        <w:color w:val="385623" w:themeColor="accent6" w:themeShade="80"/>
        <w:sz w:val="22"/>
        <w:szCs w:val="22"/>
      </w:rPr>
    </w:pPr>
    <w:r>
      <w:rPr>
        <w:rFonts w:ascii="Garamond" w:hAnsi="Garamond" w:cs="Times New Roman"/>
        <w:noProof/>
        <w:color w:val="70AD47" w:themeColor="accent6"/>
        <w:sz w:val="22"/>
        <w:szCs w:val="22"/>
      </w:rPr>
      <mc:AlternateContent>
        <mc:Choice Requires="wpg">
          <w:drawing>
            <wp:anchor distT="0" distB="0" distL="114300" distR="114300" simplePos="0" relativeHeight="251660288" behindDoc="0" locked="0" layoutInCell="1" allowOverlap="1" wp14:anchorId="2A976CF7" wp14:editId="0E3C063E">
              <wp:simplePos x="0" y="0"/>
              <wp:positionH relativeFrom="column">
                <wp:posOffset>-914400</wp:posOffset>
              </wp:positionH>
              <wp:positionV relativeFrom="paragraph">
                <wp:posOffset>219710</wp:posOffset>
              </wp:positionV>
              <wp:extent cx="6638925" cy="45720"/>
              <wp:effectExtent l="0" t="0" r="9525" b="0"/>
              <wp:wrapNone/>
              <wp:docPr id="343447240" name="Grup 6"/>
              <wp:cNvGraphicFramePr/>
              <a:graphic xmlns:a="http://schemas.openxmlformats.org/drawingml/2006/main">
                <a:graphicData uri="http://schemas.microsoft.com/office/word/2010/wordprocessingGroup">
                  <wpg:wgp>
                    <wpg:cNvGrpSpPr/>
                    <wpg:grpSpPr>
                      <a:xfrm>
                        <a:off x="0" y="0"/>
                        <a:ext cx="6639151" cy="45719"/>
                        <a:chOff x="0" y="0"/>
                        <a:chExt cx="6639151" cy="45719"/>
                      </a:xfrm>
                    </wpg:grpSpPr>
                    <wps:wsp>
                      <wps:cNvPr id="78723375" name="Persegi Panjang 5"/>
                      <wps:cNvSpPr/>
                      <wps:spPr>
                        <a:xfrm>
                          <a:off x="0" y="0"/>
                          <a:ext cx="3986563" cy="45719"/>
                        </a:xfrm>
                        <a:prstGeom prst="rect">
                          <a:avLst/>
                        </a:prstGeom>
                        <a:solidFill>
                          <a:schemeClr val="accent6">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168157387" name="Persegi Panjang 5"/>
                      <wps:cNvSpPr/>
                      <wps:spPr>
                        <a:xfrm>
                          <a:off x="3978290" y="0"/>
                          <a:ext cx="2660861" cy="45719"/>
                        </a:xfrm>
                        <a:prstGeom prst="rect">
                          <a:avLst/>
                        </a:prstGeom>
                        <a:solidFill>
                          <a:srgbClr val="00B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xmlns:wpsCustomData="http://www.wps.cn/officeDocument/2013/wpsCustomData">
          <w:pict>
            <v:group id="Grup 6" o:spid="_x0000_s1026" o:spt="203" style="position:absolute;left:0pt;margin-left:-72pt;margin-top:17.3pt;height:3.6pt;width:522.75pt;z-index:251660288;mso-width-relative:page;mso-height-relative:page;" coordsize="6639151,45719" o:gfxdata="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">
              <o:lock v:ext="edit" aspectratio="f"/>
              <v:rect id="Persegi Panjang 5" o:spid="_x0000_s1026" o:spt="1" style="position:absolute;left:0;top:0;height:45719;width:3986563;v-text-anchor:middle;" fillcolor="#385724 [1609]" filled="t" stroked="f" coordsize="21600,21600" o:gfxdata="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4&#10;cQYfwwAAAOEAAAAPAAAAAAAAAAEAIAAAACIAAABkcnMvZG93bnJldi54bWxQSwECFAAUAAAACACH&#10;TuJAMy8FnjsAAAA5AAAAEAAAAAAAAAABACAAAAASAQAAZHJzL3NoYXBleG1sLnhtbFBLBQYAAAAA&#10;BgAGAFsBAAC8AwAAAAA=&#10;">
                <v:fill on="t" focussize="0,0"/>
                <v:stroke on="f" weight="1pt" miterlimit="8" joinstyle="miter"/>
                <v:imagedata o:title=""/>
                <o:lock v:ext="edit" aspectratio="f"/>
              </v:rect>
              <v:rect id="Persegi Panjang 5" o:spid="_x0000_s1026" o:spt="1" style="position:absolute;left:3978290;top:0;height:45719;width:2660861;v-text-anchor:middle;" fillcolor="#00B050" filled="t" stroked="f" coordsize="21600,21600" o:gfxdata="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lM2&#10;M8EAAADjAAAADwAAAAAAAAABACAAAAAiAAAAZHJzL2Rvd25yZXYueG1sUEsBAhQAFAAAAAgAh07i&#10;QDMvBZ47AAAAOQAAABAAAAAAAAAAAQAgAAAAEAEAAGRycy9zaGFwZXhtbC54bWxQSwUGAAAAAAYA&#10;BgBbAQAAugMAAAAA&#10;">
                <v:fill on="t" focussize="0,0"/>
                <v:stroke on="f" weight="1pt" miterlimit="8" joinstyle="miter"/>
                <v:imagedata o:title=""/>
                <o:lock v:ext="edit" aspectratio="f"/>
              </v:rect>
            </v:group>
          </w:pict>
        </mc:Fallback>
      </mc:AlternateContent>
    </w:r>
    <w:r>
      <w:rPr>
        <w:rFonts w:ascii="Garamond" w:hAnsi="Garamond" w:cs="Times New Roman"/>
        <w:color w:val="70AD47" w:themeColor="accent6"/>
        <w:sz w:val="22"/>
        <w:szCs w:val="22"/>
      </w:rPr>
      <w:t>Author 1</w:t>
    </w:r>
    <w:r>
      <w:rPr>
        <w:rFonts w:ascii="Garamond" w:hAnsi="Garamond" w:cs="Times New Roman"/>
        <w:color w:val="385623" w:themeColor="accent6" w:themeShade="80"/>
        <w:sz w:val="22"/>
        <w:szCs w:val="22"/>
      </w:rPr>
      <w:t xml:space="preserve"> </w:t>
    </w:r>
    <w:r>
      <w:rPr>
        <w:rFonts w:ascii="Garamond" w:hAnsi="Garamond" w:cs="Times New Roman"/>
        <w:b/>
        <w:bCs/>
        <w:color w:val="385623" w:themeColor="accent6" w:themeShade="80"/>
        <w:sz w:val="22"/>
        <w:szCs w:val="22"/>
      </w:rPr>
      <w:t>et al</w:t>
    </w:r>
  </w:p>
  <w:p w14:paraId="14575767" w14:textId="77777777" w:rsidR="00DF11B2" w:rsidRDefault="00DF11B2">
    <w:pPr>
      <w:pStyle w:val="Header"/>
      <w:rPr>
        <w:rFonts w:ascii="Garamond" w:hAnsi="Garamond" w:cs="Times New Roman"/>
        <w:color w:val="385623" w:themeColor="accent6" w:themeShade="80"/>
        <w:sz w:val="14"/>
        <w:szCs w:val="14"/>
      </w:rPr>
    </w:pPr>
  </w:p>
  <w:p w14:paraId="75C0CB14" w14:textId="77777777" w:rsidR="00DF11B2" w:rsidRDefault="00DF11B2">
    <w:pPr>
      <w:pStyle w:val="Header"/>
      <w:rPr>
        <w:rFonts w:ascii="Garamond" w:hAnsi="Garamond" w:cs="Times New Roman"/>
        <w:color w:val="385623" w:themeColor="accent6" w:themeShade="80"/>
        <w:sz w:val="14"/>
        <w:szCs w:val="14"/>
      </w:rPr>
    </w:pPr>
  </w:p>
  <w:p w14:paraId="003BB51B" w14:textId="77777777" w:rsidR="00DF11B2" w:rsidRDefault="00DF11B2">
    <w:pPr>
      <w:pStyle w:val="Header"/>
      <w:rPr>
        <w:rFonts w:ascii="Garamond" w:hAnsi="Garamond" w:cs="Times New Roman"/>
        <w:color w:val="385623" w:themeColor="accent6" w:themeShade="80"/>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781D3" w14:textId="77777777" w:rsidR="00DF11B2" w:rsidRDefault="00000000">
    <w:pPr>
      <w:pStyle w:val="Header"/>
      <w:ind w:left="142"/>
      <w:rPr>
        <w:rFonts w:ascii="Gill Sans MT Condensed" w:hAnsi="Gill Sans MT Condensed" w:cs="Arabic Typesetting"/>
        <w:b/>
        <w:bCs/>
        <w:color w:val="385623" w:themeColor="accent6" w:themeShade="80"/>
        <w:sz w:val="30"/>
        <w:szCs w:val="30"/>
      </w:rPr>
    </w:pPr>
    <w:r>
      <w:rPr>
        <w:rFonts w:ascii="Gill Sans MT Condensed" w:hAnsi="Gill Sans MT Condensed" w:cs="Arabic Typesetting"/>
        <w:b/>
        <w:bCs/>
        <w:noProof/>
        <w:color w:val="385623" w:themeColor="accent6" w:themeShade="80"/>
        <w:sz w:val="36"/>
        <w:szCs w:val="36"/>
      </w:rPr>
      <w:drawing>
        <wp:anchor distT="0" distB="0" distL="114300" distR="114300" simplePos="0" relativeHeight="251662336" behindDoc="1" locked="0" layoutInCell="1" allowOverlap="1" wp14:anchorId="2FC82914" wp14:editId="2CDCB2B8">
          <wp:simplePos x="0" y="0"/>
          <wp:positionH relativeFrom="margin">
            <wp:posOffset>-530860</wp:posOffset>
          </wp:positionH>
          <wp:positionV relativeFrom="paragraph">
            <wp:posOffset>1270</wp:posOffset>
          </wp:positionV>
          <wp:extent cx="541020" cy="762635"/>
          <wp:effectExtent l="0" t="0" r="0" b="0"/>
          <wp:wrapNone/>
          <wp:docPr id="974042490"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042490" name="Gambar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541020" cy="762804"/>
                  </a:xfrm>
                  <a:prstGeom prst="rect">
                    <a:avLst/>
                  </a:prstGeom>
                  <a:noFill/>
                  <a:ln>
                    <a:noFill/>
                  </a:ln>
                </pic:spPr>
              </pic:pic>
            </a:graphicData>
          </a:graphic>
        </wp:anchor>
      </w:drawing>
    </w:r>
    <w:r>
      <w:rPr>
        <w:rFonts w:ascii="Gill Sans MT Condensed" w:hAnsi="Gill Sans MT Condensed" w:cs="Arabic Typesetting"/>
        <w:b/>
        <w:bCs/>
        <w:noProof/>
        <w:color w:val="70AD47" w:themeColor="accent6"/>
        <w:sz w:val="36"/>
        <w:szCs w:val="36"/>
      </w:rPr>
      <mc:AlternateContent>
        <mc:Choice Requires="wps">
          <w:drawing>
            <wp:anchor distT="0" distB="0" distL="114300" distR="114300" simplePos="0" relativeHeight="251664384" behindDoc="0" locked="0" layoutInCell="1" allowOverlap="1" wp14:anchorId="29C0F724" wp14:editId="6AD5DFB1">
              <wp:simplePos x="0" y="0"/>
              <wp:positionH relativeFrom="column">
                <wp:posOffset>5528310</wp:posOffset>
              </wp:positionH>
              <wp:positionV relativeFrom="paragraph">
                <wp:posOffset>1270</wp:posOffset>
              </wp:positionV>
              <wp:extent cx="1408430" cy="271780"/>
              <wp:effectExtent l="0" t="0" r="1905" b="0"/>
              <wp:wrapNone/>
              <wp:docPr id="2118156781" name="Persegi Panjang 10"/>
              <wp:cNvGraphicFramePr/>
              <a:graphic xmlns:a="http://schemas.openxmlformats.org/drawingml/2006/main">
                <a:graphicData uri="http://schemas.microsoft.com/office/word/2010/wordprocessingShape">
                  <wps:wsp>
                    <wps:cNvSpPr/>
                    <wps:spPr>
                      <a:xfrm>
                        <a:off x="0" y="0"/>
                        <a:ext cx="1408295" cy="271849"/>
                      </a:xfrm>
                      <a:prstGeom prst="rect">
                        <a:avLst/>
                      </a:prstGeom>
                      <a:solidFill>
                        <a:schemeClr val="accent6">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5E8722D" w14:textId="77777777" w:rsidR="00DF11B2" w:rsidRDefault="00000000">
                          <w:pPr>
                            <w:pStyle w:val="Footer"/>
                            <w:rPr>
                              <w:rFonts w:ascii="Times New Roman" w:hAnsi="Times New Roman" w:cs="Times New Roman"/>
                              <w:b/>
                              <w:bCs/>
                              <w:color w:val="FFFFFF" w:themeColor="background1"/>
                              <w:sz w:val="22"/>
                              <w:szCs w:val="22"/>
                            </w:rPr>
                          </w:pPr>
                          <w:r>
                            <w:rPr>
                              <w:rFonts w:ascii="Times New Roman" w:hAnsi="Times New Roman" w:cs="Times New Roman"/>
                              <w:color w:val="FFFFFF" w:themeColor="background1"/>
                              <w:sz w:val="22"/>
                              <w:szCs w:val="22"/>
                              <w:lang w:val="id-ID"/>
                            </w:rPr>
                            <w:t xml:space="preserve">Page </w:t>
                          </w:r>
                          <w:r>
                            <w:rPr>
                              <w:rFonts w:ascii="Times New Roman" w:hAnsi="Times New Roman" w:cs="Times New Roman"/>
                              <w:b/>
                              <w:bCs/>
                              <w:color w:val="FFFFFF" w:themeColor="background1"/>
                              <w:sz w:val="22"/>
                              <w:szCs w:val="22"/>
                            </w:rPr>
                            <w:fldChar w:fldCharType="begin"/>
                          </w:r>
                          <w:r>
                            <w:rPr>
                              <w:rFonts w:ascii="Times New Roman" w:hAnsi="Times New Roman" w:cs="Times New Roman"/>
                              <w:b/>
                              <w:bCs/>
                              <w:color w:val="FFFFFF" w:themeColor="background1"/>
                              <w:sz w:val="22"/>
                              <w:szCs w:val="22"/>
                            </w:rPr>
                            <w:instrText>PAGE</w:instrText>
                          </w:r>
                          <w:r>
                            <w:rPr>
                              <w:rFonts w:ascii="Times New Roman" w:hAnsi="Times New Roman" w:cs="Times New Roman"/>
                              <w:b/>
                              <w:bCs/>
                              <w:color w:val="FFFFFF" w:themeColor="background1"/>
                              <w:sz w:val="22"/>
                              <w:szCs w:val="22"/>
                            </w:rPr>
                            <w:fldChar w:fldCharType="separate"/>
                          </w:r>
                          <w:r>
                            <w:rPr>
                              <w:rFonts w:ascii="Times New Roman" w:hAnsi="Times New Roman" w:cs="Times New Roman"/>
                              <w:b/>
                              <w:bCs/>
                              <w:color w:val="FFFFFF" w:themeColor="background1"/>
                              <w:sz w:val="22"/>
                              <w:szCs w:val="22"/>
                            </w:rPr>
                            <w:t>1</w:t>
                          </w:r>
                          <w:r>
                            <w:rPr>
                              <w:rFonts w:ascii="Times New Roman" w:hAnsi="Times New Roman" w:cs="Times New Roman"/>
                              <w:b/>
                              <w:bCs/>
                              <w:color w:val="FFFFFF" w:themeColor="background1"/>
                              <w:sz w:val="22"/>
                              <w:szCs w:val="22"/>
                            </w:rPr>
                            <w:fldChar w:fldCharType="end"/>
                          </w:r>
                          <w:r>
                            <w:rPr>
                              <w:rFonts w:ascii="Times New Roman" w:hAnsi="Times New Roman" w:cs="Times New Roman"/>
                              <w:color w:val="FFFFFF" w:themeColor="background1"/>
                              <w:sz w:val="22"/>
                              <w:szCs w:val="22"/>
                              <w:lang w:val="id-ID"/>
                            </w:rPr>
                            <w:t xml:space="preserve"> of </w:t>
                          </w:r>
                          <w:r>
                            <w:rPr>
                              <w:rFonts w:ascii="Times New Roman" w:hAnsi="Times New Roman" w:cs="Times New Roman"/>
                              <w:b/>
                              <w:bCs/>
                              <w:color w:val="FFFFFF" w:themeColor="background1"/>
                              <w:sz w:val="22"/>
                              <w:szCs w:val="22"/>
                            </w:rPr>
                            <w:fldChar w:fldCharType="begin"/>
                          </w:r>
                          <w:r>
                            <w:rPr>
                              <w:rFonts w:ascii="Times New Roman" w:hAnsi="Times New Roman" w:cs="Times New Roman"/>
                              <w:b/>
                              <w:bCs/>
                              <w:color w:val="FFFFFF" w:themeColor="background1"/>
                              <w:sz w:val="22"/>
                              <w:szCs w:val="22"/>
                            </w:rPr>
                            <w:instrText>NUMPAGES</w:instrText>
                          </w:r>
                          <w:r>
                            <w:rPr>
                              <w:rFonts w:ascii="Times New Roman" w:hAnsi="Times New Roman" w:cs="Times New Roman"/>
                              <w:b/>
                              <w:bCs/>
                              <w:color w:val="FFFFFF" w:themeColor="background1"/>
                              <w:sz w:val="22"/>
                              <w:szCs w:val="22"/>
                            </w:rPr>
                            <w:fldChar w:fldCharType="separate"/>
                          </w:r>
                          <w:r>
                            <w:rPr>
                              <w:rFonts w:ascii="Times New Roman" w:hAnsi="Times New Roman" w:cs="Times New Roman"/>
                              <w:b/>
                              <w:bCs/>
                              <w:color w:val="FFFFFF" w:themeColor="background1"/>
                              <w:sz w:val="22"/>
                              <w:szCs w:val="22"/>
                            </w:rPr>
                            <w:t>9</w:t>
                          </w:r>
                          <w:r>
                            <w:rPr>
                              <w:rFonts w:ascii="Times New Roman" w:hAnsi="Times New Roman" w:cs="Times New Roman"/>
                              <w:b/>
                              <w:bCs/>
                              <w:color w:val="FFFFFF" w:themeColor="background1"/>
                              <w:sz w:val="22"/>
                              <w:szCs w:val="22"/>
                            </w:rPr>
                            <w:fldChar w:fldCharType="end"/>
                          </w:r>
                        </w:p>
                        <w:p w14:paraId="6170E317" w14:textId="77777777" w:rsidR="00DF11B2" w:rsidRDefault="00DF11B2">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9C0F724" id="_x0000_s1027" style="position:absolute;left:0;text-align:left;margin-left:435.3pt;margin-top:.1pt;width:110.9pt;height:21.4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" fillcolor="#375623 [1609]" stroked="f" strokeweight="1pt">
              <v:textbox>
                <w:txbxContent>
                  <w:p w14:paraId="25E8722D" w14:textId="77777777" w:rsidR="00DF11B2" w:rsidRDefault="00000000">
                    <w:pPr>
                      <w:pStyle w:val="Footer"/>
                      <w:rPr>
                        <w:rFonts w:ascii="Times New Roman" w:hAnsi="Times New Roman" w:cs="Times New Roman"/>
                        <w:b/>
                        <w:bCs/>
                        <w:color w:val="FFFFFF" w:themeColor="background1"/>
                        <w:sz w:val="22"/>
                        <w:szCs w:val="22"/>
                      </w:rPr>
                    </w:pPr>
                    <w:r>
                      <w:rPr>
                        <w:rFonts w:ascii="Times New Roman" w:hAnsi="Times New Roman" w:cs="Times New Roman"/>
                        <w:color w:val="FFFFFF" w:themeColor="background1"/>
                        <w:sz w:val="22"/>
                        <w:szCs w:val="22"/>
                        <w:lang w:val="id-ID"/>
                      </w:rPr>
                      <w:t xml:space="preserve">Page </w:t>
                    </w:r>
                    <w:r>
                      <w:rPr>
                        <w:rFonts w:ascii="Times New Roman" w:hAnsi="Times New Roman" w:cs="Times New Roman"/>
                        <w:b/>
                        <w:bCs/>
                        <w:color w:val="FFFFFF" w:themeColor="background1"/>
                        <w:sz w:val="22"/>
                        <w:szCs w:val="22"/>
                      </w:rPr>
                      <w:fldChar w:fldCharType="begin"/>
                    </w:r>
                    <w:r>
                      <w:rPr>
                        <w:rFonts w:ascii="Times New Roman" w:hAnsi="Times New Roman" w:cs="Times New Roman"/>
                        <w:b/>
                        <w:bCs/>
                        <w:color w:val="FFFFFF" w:themeColor="background1"/>
                        <w:sz w:val="22"/>
                        <w:szCs w:val="22"/>
                      </w:rPr>
                      <w:instrText>PAGE</w:instrText>
                    </w:r>
                    <w:r>
                      <w:rPr>
                        <w:rFonts w:ascii="Times New Roman" w:hAnsi="Times New Roman" w:cs="Times New Roman"/>
                        <w:b/>
                        <w:bCs/>
                        <w:color w:val="FFFFFF" w:themeColor="background1"/>
                        <w:sz w:val="22"/>
                        <w:szCs w:val="22"/>
                      </w:rPr>
                      <w:fldChar w:fldCharType="separate"/>
                    </w:r>
                    <w:r>
                      <w:rPr>
                        <w:rFonts w:ascii="Times New Roman" w:hAnsi="Times New Roman" w:cs="Times New Roman"/>
                        <w:b/>
                        <w:bCs/>
                        <w:color w:val="FFFFFF" w:themeColor="background1"/>
                        <w:sz w:val="22"/>
                        <w:szCs w:val="22"/>
                      </w:rPr>
                      <w:t>1</w:t>
                    </w:r>
                    <w:r>
                      <w:rPr>
                        <w:rFonts w:ascii="Times New Roman" w:hAnsi="Times New Roman" w:cs="Times New Roman"/>
                        <w:b/>
                        <w:bCs/>
                        <w:color w:val="FFFFFF" w:themeColor="background1"/>
                        <w:sz w:val="22"/>
                        <w:szCs w:val="22"/>
                      </w:rPr>
                      <w:fldChar w:fldCharType="end"/>
                    </w:r>
                    <w:r>
                      <w:rPr>
                        <w:rFonts w:ascii="Times New Roman" w:hAnsi="Times New Roman" w:cs="Times New Roman"/>
                        <w:color w:val="FFFFFF" w:themeColor="background1"/>
                        <w:sz w:val="22"/>
                        <w:szCs w:val="22"/>
                        <w:lang w:val="id-ID"/>
                      </w:rPr>
                      <w:t xml:space="preserve"> of </w:t>
                    </w:r>
                    <w:r>
                      <w:rPr>
                        <w:rFonts w:ascii="Times New Roman" w:hAnsi="Times New Roman" w:cs="Times New Roman"/>
                        <w:b/>
                        <w:bCs/>
                        <w:color w:val="FFFFFF" w:themeColor="background1"/>
                        <w:sz w:val="22"/>
                        <w:szCs w:val="22"/>
                      </w:rPr>
                      <w:fldChar w:fldCharType="begin"/>
                    </w:r>
                    <w:r>
                      <w:rPr>
                        <w:rFonts w:ascii="Times New Roman" w:hAnsi="Times New Roman" w:cs="Times New Roman"/>
                        <w:b/>
                        <w:bCs/>
                        <w:color w:val="FFFFFF" w:themeColor="background1"/>
                        <w:sz w:val="22"/>
                        <w:szCs w:val="22"/>
                      </w:rPr>
                      <w:instrText>NUMPAGES</w:instrText>
                    </w:r>
                    <w:r>
                      <w:rPr>
                        <w:rFonts w:ascii="Times New Roman" w:hAnsi="Times New Roman" w:cs="Times New Roman"/>
                        <w:b/>
                        <w:bCs/>
                        <w:color w:val="FFFFFF" w:themeColor="background1"/>
                        <w:sz w:val="22"/>
                        <w:szCs w:val="22"/>
                      </w:rPr>
                      <w:fldChar w:fldCharType="separate"/>
                    </w:r>
                    <w:r>
                      <w:rPr>
                        <w:rFonts w:ascii="Times New Roman" w:hAnsi="Times New Roman" w:cs="Times New Roman"/>
                        <w:b/>
                        <w:bCs/>
                        <w:color w:val="FFFFFF" w:themeColor="background1"/>
                        <w:sz w:val="22"/>
                        <w:szCs w:val="22"/>
                      </w:rPr>
                      <w:t>9</w:t>
                    </w:r>
                    <w:r>
                      <w:rPr>
                        <w:rFonts w:ascii="Times New Roman" w:hAnsi="Times New Roman" w:cs="Times New Roman"/>
                        <w:b/>
                        <w:bCs/>
                        <w:color w:val="FFFFFF" w:themeColor="background1"/>
                        <w:sz w:val="22"/>
                        <w:szCs w:val="22"/>
                      </w:rPr>
                      <w:fldChar w:fldCharType="end"/>
                    </w:r>
                  </w:p>
                  <w:p w14:paraId="6170E317" w14:textId="77777777" w:rsidR="00DF11B2" w:rsidRDefault="00DF11B2">
                    <w:pPr>
                      <w:jc w:val="center"/>
                      <w:rPr>
                        <w:color w:val="FFFFFF" w:themeColor="background1"/>
                      </w:rPr>
                    </w:pPr>
                  </w:p>
                </w:txbxContent>
              </v:textbox>
            </v:rect>
          </w:pict>
        </mc:Fallback>
      </mc:AlternateContent>
    </w:r>
    <w:r>
      <w:rPr>
        <w:rFonts w:ascii="Gill Sans MT Condensed" w:hAnsi="Gill Sans MT Condensed" w:cs="Arabic Typesetting"/>
        <w:b/>
        <w:bCs/>
        <w:color w:val="385623" w:themeColor="accent6" w:themeShade="80"/>
        <w:sz w:val="36"/>
        <w:szCs w:val="36"/>
      </w:rPr>
      <w:t>International Journal of Educational Review, Law, and Social Sciences (IJERLAS)</w:t>
    </w:r>
  </w:p>
  <w:p w14:paraId="69EC4B39" w14:textId="77777777" w:rsidR="00DF11B2" w:rsidRDefault="00000000">
    <w:pPr>
      <w:pStyle w:val="Header"/>
      <w:ind w:left="142"/>
      <w:rPr>
        <w:rFonts w:ascii="Garamond" w:hAnsi="Garamond" w:cs="Times New Roman"/>
        <w:color w:val="385623" w:themeColor="accent6" w:themeShade="80"/>
        <w:sz w:val="22"/>
        <w:szCs w:val="22"/>
      </w:rPr>
    </w:pPr>
    <w:r>
      <w:rPr>
        <w:rFonts w:ascii="Garamond" w:hAnsi="Garamond" w:cs="Times New Roman"/>
        <w:color w:val="385623" w:themeColor="accent6" w:themeShade="80"/>
        <w:sz w:val="22"/>
        <w:szCs w:val="22"/>
      </w:rPr>
      <w:t>ISSN: 2808-487X</w:t>
    </w:r>
  </w:p>
  <w:p w14:paraId="290EC62A" w14:textId="77777777" w:rsidR="00DF11B2" w:rsidRDefault="00000000">
    <w:pPr>
      <w:pStyle w:val="Header"/>
      <w:ind w:left="142"/>
      <w:rPr>
        <w:rFonts w:ascii="Garamond" w:hAnsi="Garamond" w:cs="Times New Roman"/>
        <w:color w:val="385623" w:themeColor="accent6" w:themeShade="80"/>
        <w:sz w:val="22"/>
        <w:szCs w:val="22"/>
      </w:rPr>
    </w:pPr>
    <w:r>
      <w:rPr>
        <w:rFonts w:ascii="Garamond" w:hAnsi="Garamond" w:cs="Times New Roman"/>
        <w:color w:val="385623" w:themeColor="accent6" w:themeShade="80"/>
        <w:sz w:val="22"/>
        <w:szCs w:val="22"/>
      </w:rPr>
      <w:t>Edition: Vol. 6 No.1 (2026)</w:t>
    </w:r>
  </w:p>
  <w:p w14:paraId="36D507C9" w14:textId="77777777" w:rsidR="00DF11B2" w:rsidRDefault="00000000">
    <w:pPr>
      <w:pStyle w:val="Header"/>
      <w:ind w:left="142"/>
      <w:rPr>
        <w:rFonts w:ascii="Garamond" w:hAnsi="Garamond" w:cs="Times New Roman"/>
        <w:color w:val="385623" w:themeColor="accent6" w:themeShade="80"/>
        <w:sz w:val="22"/>
        <w:szCs w:val="22"/>
      </w:rPr>
    </w:pPr>
    <w:r>
      <w:rPr>
        <w:rFonts w:ascii="Garamond" w:hAnsi="Garamond" w:cs="Times New Roman"/>
        <w:noProof/>
        <w:color w:val="00B050"/>
        <w:sz w:val="22"/>
        <w:szCs w:val="22"/>
      </w:rPr>
      <mc:AlternateContent>
        <mc:Choice Requires="wpg">
          <w:drawing>
            <wp:anchor distT="0" distB="0" distL="114300" distR="114300" simplePos="0" relativeHeight="251663360" behindDoc="0" locked="0" layoutInCell="1" allowOverlap="1" wp14:anchorId="29F36B4F" wp14:editId="7A687FA6">
              <wp:simplePos x="0" y="0"/>
              <wp:positionH relativeFrom="column">
                <wp:posOffset>-914400</wp:posOffset>
              </wp:positionH>
              <wp:positionV relativeFrom="paragraph">
                <wp:posOffset>219710</wp:posOffset>
              </wp:positionV>
              <wp:extent cx="6638925" cy="45720"/>
              <wp:effectExtent l="0" t="0" r="9525" b="0"/>
              <wp:wrapNone/>
              <wp:docPr id="1853929923" name="Grup 6"/>
              <wp:cNvGraphicFramePr/>
              <a:graphic xmlns:a="http://schemas.openxmlformats.org/drawingml/2006/main">
                <a:graphicData uri="http://schemas.microsoft.com/office/word/2010/wordprocessingGroup">
                  <wpg:wgp>
                    <wpg:cNvGrpSpPr/>
                    <wpg:grpSpPr>
                      <a:xfrm>
                        <a:off x="0" y="0"/>
                        <a:ext cx="6639151" cy="45719"/>
                        <a:chOff x="0" y="0"/>
                        <a:chExt cx="6639151" cy="45719"/>
                      </a:xfrm>
                    </wpg:grpSpPr>
                    <wps:wsp>
                      <wps:cNvPr id="787213283" name="Persegi Panjang 5"/>
                      <wps:cNvSpPr/>
                      <wps:spPr>
                        <a:xfrm>
                          <a:off x="0" y="0"/>
                          <a:ext cx="3986563" cy="45719"/>
                        </a:xfrm>
                        <a:prstGeom prst="rect">
                          <a:avLst/>
                        </a:prstGeom>
                        <a:solidFill>
                          <a:schemeClr val="accent6">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034648060" name="Persegi Panjang 5"/>
                      <wps:cNvSpPr/>
                      <wps:spPr>
                        <a:xfrm>
                          <a:off x="3978290" y="0"/>
                          <a:ext cx="2660861" cy="45719"/>
                        </a:xfrm>
                        <a:prstGeom prst="rect">
                          <a:avLst/>
                        </a:prstGeom>
                        <a:solidFill>
                          <a:srgbClr val="00B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xmlns:wpsCustomData="http://www.wps.cn/officeDocument/2013/wpsCustomData">
          <w:pict>
            <v:group id="Grup 6" o:spid="_x0000_s1026" o:spt="203" style="position:absolute;left:0pt;margin-left:-72pt;margin-top:17.3pt;height:3.6pt;width:522.75pt;z-index:251663360;mso-width-relative:page;mso-height-relative:page;" coordsize="6639151,45719" o:gfxdata="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">
              <o:lock v:ext="edit" aspectratio="f"/>
              <v:rect id="Persegi Panjang 5" o:spid="_x0000_s1026" o:spt="1" style="position:absolute;left:0;top:0;height:45719;width:3986563;v-text-anchor:middle;" fillcolor="#385724 [1609]" filled="t" stroked="f" coordsize="21600,21600" o:gfxdata="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c&#10;35eZwwAAAOIAAAAPAAAAAAAAAAEAIAAAACIAAABkcnMvZG93bnJldi54bWxQSwECFAAUAAAACACH&#10;TuJAMy8FnjsAAAA5AAAAEAAAAAAAAAABACAAAAASAQAAZHJzL3NoYXBleG1sLnhtbFBLBQYAAAAA&#10;BgAGAFsBAAC8AwAAAAA=&#10;">
                <v:fill on="t" focussize="0,0"/>
                <v:stroke on="f" weight="1pt" miterlimit="8" joinstyle="miter"/>
                <v:imagedata o:title=""/>
                <o:lock v:ext="edit" aspectratio="f"/>
              </v:rect>
              <v:rect id="Persegi Panjang 5" o:spid="_x0000_s1026" o:spt="1" style="position:absolute;left:3978290;top:0;height:45719;width:2660861;v-text-anchor:middle;" fillcolor="#00B050" filled="t" stroked="f" coordsize="21600,21600" o:gfxdata="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S3JPXMQAAADjAAAADwAAAAAAAAABACAAAAAiAAAAZHJzL2Rvd25yZXYueG1sUEsBAhQAFAAAAAgA&#10;h07iQDMvBZ47AAAAOQAAABAAAAAAAAAAAQAgAAAAEwEAAGRycy9zaGFwZXhtbC54bWxQSwUGAAAA&#10;AAYABgBbAQAAvQMAAAAA&#10;">
                <v:fill on="t" focussize="0,0"/>
                <v:stroke on="f" weight="1pt" miterlimit="8" joinstyle="miter"/>
                <v:imagedata o:title=""/>
                <o:lock v:ext="edit" aspectratio="f"/>
              </v:rect>
            </v:group>
          </w:pict>
        </mc:Fallback>
      </mc:AlternateContent>
    </w:r>
    <w:hyperlink r:id="rId2" w:history="1">
      <w:r w:rsidR="00DF11B2">
        <w:rPr>
          <w:rStyle w:val="Hyperlink"/>
          <w:rFonts w:ascii="Garamond" w:hAnsi="Garamond" w:cs="Times New Roman"/>
          <w:color w:val="00B050"/>
          <w:sz w:val="22"/>
          <w:szCs w:val="22"/>
          <w:u w:val="none"/>
        </w:rPr>
        <w:t>https://radjapublika.com/index.php/IJERLAS/index</w:t>
      </w:r>
    </w:hyperlink>
    <w:r>
      <w:rPr>
        <w:rFonts w:ascii="Garamond" w:hAnsi="Garamond" w:cs="Times New Roman"/>
        <w:color w:val="70AD47" w:themeColor="accent6"/>
        <w:sz w:val="22"/>
        <w:szCs w:val="22"/>
      </w:rPr>
      <w:t xml:space="preserve"> </w:t>
    </w:r>
    <w:r>
      <w:rPr>
        <w:rFonts w:ascii="Garamond" w:hAnsi="Garamond" w:cs="Times New Roman"/>
        <w:sz w:val="22"/>
        <w:szCs w:val="22"/>
      </w:rPr>
      <w:t xml:space="preserve"> </w:t>
    </w:r>
    <w:r>
      <w:rPr>
        <w:rFonts w:ascii="Garamond" w:hAnsi="Garamond" w:cs="Times New Roman"/>
        <w:color w:val="385623" w:themeColor="accent6" w:themeShade="80"/>
        <w:sz w:val="22"/>
        <w:szCs w:val="22"/>
      </w:rPr>
      <w:t xml:space="preserve"> </w:t>
    </w:r>
  </w:p>
  <w:p w14:paraId="25986B49" w14:textId="77777777" w:rsidR="00DF11B2" w:rsidRDefault="00DF11B2">
    <w:pPr>
      <w:pStyle w:val="Header"/>
      <w:rPr>
        <w:rFonts w:ascii="Times New Roman" w:hAnsi="Times New Roman" w:cs="Times New Roman"/>
        <w:color w:val="385623" w:themeColor="accent6" w:themeShade="80"/>
        <w:sz w:val="14"/>
        <w:szCs w:val="14"/>
      </w:rPr>
    </w:pPr>
  </w:p>
  <w:p w14:paraId="63588B03" w14:textId="77777777" w:rsidR="00DF11B2" w:rsidRDefault="00DF11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savePreviewPicture/>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C56"/>
    <w:rsid w:val="00025543"/>
    <w:rsid w:val="000904FE"/>
    <w:rsid w:val="000D3928"/>
    <w:rsid w:val="00132506"/>
    <w:rsid w:val="0013545E"/>
    <w:rsid w:val="00141C61"/>
    <w:rsid w:val="00171FCA"/>
    <w:rsid w:val="001D7598"/>
    <w:rsid w:val="00257851"/>
    <w:rsid w:val="00310A32"/>
    <w:rsid w:val="00341852"/>
    <w:rsid w:val="00343B28"/>
    <w:rsid w:val="003A58E6"/>
    <w:rsid w:val="003A7D20"/>
    <w:rsid w:val="003C02D0"/>
    <w:rsid w:val="003C3A7A"/>
    <w:rsid w:val="003F1D17"/>
    <w:rsid w:val="00495D42"/>
    <w:rsid w:val="004C08B8"/>
    <w:rsid w:val="004C2A65"/>
    <w:rsid w:val="00503DA2"/>
    <w:rsid w:val="00504817"/>
    <w:rsid w:val="005159B0"/>
    <w:rsid w:val="00532ECD"/>
    <w:rsid w:val="00541593"/>
    <w:rsid w:val="00546562"/>
    <w:rsid w:val="005519EE"/>
    <w:rsid w:val="00562CE8"/>
    <w:rsid w:val="00562E6D"/>
    <w:rsid w:val="00586723"/>
    <w:rsid w:val="00596A93"/>
    <w:rsid w:val="006433F2"/>
    <w:rsid w:val="00715276"/>
    <w:rsid w:val="00717754"/>
    <w:rsid w:val="00720A5C"/>
    <w:rsid w:val="00727987"/>
    <w:rsid w:val="0073633C"/>
    <w:rsid w:val="007A193E"/>
    <w:rsid w:val="007A7039"/>
    <w:rsid w:val="007D6489"/>
    <w:rsid w:val="008462A8"/>
    <w:rsid w:val="00884DDA"/>
    <w:rsid w:val="008F0301"/>
    <w:rsid w:val="00907C56"/>
    <w:rsid w:val="00921060"/>
    <w:rsid w:val="0092464C"/>
    <w:rsid w:val="00955E24"/>
    <w:rsid w:val="009A5838"/>
    <w:rsid w:val="009C319C"/>
    <w:rsid w:val="009E2B2B"/>
    <w:rsid w:val="00A34A47"/>
    <w:rsid w:val="00A73BB2"/>
    <w:rsid w:val="00AC7D87"/>
    <w:rsid w:val="00BC3251"/>
    <w:rsid w:val="00BC37E1"/>
    <w:rsid w:val="00C33189"/>
    <w:rsid w:val="00C42898"/>
    <w:rsid w:val="00C437EA"/>
    <w:rsid w:val="00C63942"/>
    <w:rsid w:val="00C64652"/>
    <w:rsid w:val="00C903C7"/>
    <w:rsid w:val="00CE22D9"/>
    <w:rsid w:val="00D53A69"/>
    <w:rsid w:val="00D61FED"/>
    <w:rsid w:val="00DB41D1"/>
    <w:rsid w:val="00DB65EE"/>
    <w:rsid w:val="00DC7B39"/>
    <w:rsid w:val="00DD02E3"/>
    <w:rsid w:val="00DF11B2"/>
    <w:rsid w:val="00E65622"/>
    <w:rsid w:val="00E907BF"/>
    <w:rsid w:val="00EC5D73"/>
    <w:rsid w:val="00EE2444"/>
    <w:rsid w:val="00EF544D"/>
    <w:rsid w:val="00F35307"/>
    <w:rsid w:val="00F4615D"/>
    <w:rsid w:val="00F66D78"/>
    <w:rsid w:val="00FD51AA"/>
    <w:rsid w:val="0B4873A4"/>
    <w:rsid w:val="14550167"/>
    <w:rsid w:val="2A7975BE"/>
    <w:rsid w:val="384E6028"/>
    <w:rsid w:val="3CE409EF"/>
    <w:rsid w:val="3D657ABA"/>
    <w:rsid w:val="48530D04"/>
    <w:rsid w:val="4B827BA6"/>
    <w:rsid w:val="50213603"/>
    <w:rsid w:val="528D14FE"/>
    <w:rsid w:val="58A477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178D841"/>
  <w15:docId w15:val="{3F91AD4F-6017-408D-985D-9E06412A7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val="en-US" w:eastAsia="en-US"/>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Pr>
      <w:i/>
      <w:iCs/>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FootnoteReference">
    <w:name w:val="footnote reference"/>
    <w:uiPriority w:val="99"/>
    <w:unhideWhenUsed/>
    <w:qFormat/>
    <w:rPr>
      <w:vertAlign w:val="superscript"/>
    </w:rPr>
  </w:style>
  <w:style w:type="paragraph" w:styleId="FootnoteText">
    <w:name w:val="footnote text"/>
    <w:basedOn w:val="Normal"/>
    <w:uiPriority w:val="99"/>
    <w:unhideWhenUsed/>
    <w:qFormat/>
    <w:pPr>
      <w:spacing w:after="0" w:line="240" w:lineRule="auto"/>
    </w:pPr>
    <w:rPr>
      <w:sz w:val="20"/>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semiHidden/>
    <w:unhideWhenUsed/>
    <w:qFormat/>
    <w:rPr>
      <w:rFonts w:ascii="Times New Roman" w:hAnsi="Times New Roman" w:cs="Times New Roman"/>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NoSpacing">
    <w:name w:val="No Spacing"/>
    <w:link w:val="NoSpacingChar"/>
    <w:uiPriority w:val="1"/>
    <w:qFormat/>
    <w:rPr>
      <w:rFonts w:ascii="Calibri" w:eastAsia="Times New Roman" w:hAnsi="Calibri" w:cs="Arial"/>
      <w:sz w:val="22"/>
      <w:szCs w:val="22"/>
      <w:lang w:val="id-ID" w:eastAsia="en-US"/>
    </w:rPr>
  </w:style>
  <w:style w:type="character" w:customStyle="1" w:styleId="NoSpacingChar">
    <w:name w:val="No Spacing Char"/>
    <w:basedOn w:val="DefaultParagraphFont"/>
    <w:link w:val="NoSpacing"/>
    <w:uiPriority w:val="1"/>
    <w:qFormat/>
    <w:locked/>
    <w:rPr>
      <w:rFonts w:ascii="Calibri" w:eastAsia="Times New Roman" w:hAnsi="Calibri" w:cs="Arial"/>
      <w:kern w:val="0"/>
      <w:sz w:val="22"/>
      <w:szCs w:val="22"/>
      <w:lang w:val="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ndah.rantau.itasari@hukum.untan.ac.id"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endah.rantau.itasari@hukum.untan.ac.id" TargetMode="External"/><Relationship Id="rId4" Type="http://schemas.openxmlformats.org/officeDocument/2006/relationships/settings" Target="settings.xml"/><Relationship Id="rId9" Type="http://schemas.openxmlformats.org/officeDocument/2006/relationships/hyperlink" Target="mailto:safaruddinharefa@hukum.untan.ac.id"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hyperlink" Target="https://radjapublika.com/index.php/IJERLAS/index"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F90D1555-6E72-4433-8DE8-85F5479DAA0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13</Pages>
  <Words>7770</Words>
  <Characters>44290</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usmanjayadi1987</dc:creator>
  <cp:lastModifiedBy>SAFARUDDIN HAREFA MH</cp:lastModifiedBy>
  <cp:revision>20</cp:revision>
  <cp:lastPrinted>2025-12-16T05:00:00Z</cp:lastPrinted>
  <dcterms:created xsi:type="dcterms:W3CDTF">2026-02-04T15:06:00Z</dcterms:created>
  <dcterms:modified xsi:type="dcterms:W3CDTF">2026-06-02T08:09:00Z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eyJoZGlkIjoiNzQwYzhkMGQ0NWIwZjM3OTM1NTE5YzRjZDE0ZTkzZmYiLCJ1c2VySWQiOiI5Nzk5NzI4OTI5NjEifQ==</vt:lpwstr>
  </property>
  <property fmtid="{D5CDD505-2E9C-101B-9397-08002B2CF9AE}" pid="3" name="KSOProductBuildVer">
    <vt:lpwstr>1033-12.1.0.26372</vt:lpwstr>
  </property>
  <property fmtid="{D5CDD505-2E9C-101B-9397-08002B2CF9AE}" pid="4" name="ICV">
    <vt:lpwstr>B704BADE7DCD45D388401E801CBC4DAE_13</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http://www.zotero.org/styles/university-of-gothenburg-apa-swedish-legislations</vt:lpwstr>
  </property>
  <property fmtid="{D5CDD505-2E9C-101B-9397-08002B2CF9AE}" pid="22" name="Mendeley Recent Style Name 8_1">
    <vt:lpwstr>University of Gothenburg - APA 6th edition (Swedish legislations)</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Mendeley Document_1">
    <vt:lpwstr>True</vt:lpwstr>
  </property>
  <property fmtid="{D5CDD505-2E9C-101B-9397-08002B2CF9AE}" pid="26" name="Mendeley Unique User Id_1">
    <vt:lpwstr>24e7ff15-84d8-3797-a7b9-63fc22d51385</vt:lpwstr>
  </property>
  <property fmtid="{D5CDD505-2E9C-101B-9397-08002B2CF9AE}" pid="27" name="Mendeley Citation Style_1">
    <vt:lpwstr>http://www.zotero.org/styles/chicago-fullnote-bibliography</vt:lpwstr>
  </property>
</Properties>
</file>